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B0F8" w14:textId="16759BA7" w:rsidR="00426B77" w:rsidRPr="00767D0D" w:rsidRDefault="00426B77" w:rsidP="00426B77">
      <w:pPr>
        <w:spacing w:after="0"/>
        <w:jc w:val="right"/>
        <w:rPr>
          <w:rFonts w:eastAsia="Times New Roman" w:cs="Times New Roman"/>
          <w:b/>
          <w:bCs/>
          <w:sz w:val="26"/>
          <w:szCs w:val="26"/>
          <w:lang w:val="uk-UA" w:eastAsia="ru-RU"/>
        </w:rPr>
      </w:pPr>
      <w:r w:rsidRPr="00767D0D">
        <w:rPr>
          <w:rFonts w:eastAsia="Times New Roman" w:cs="Times New Roman"/>
          <w:b/>
          <w:bCs/>
          <w:sz w:val="26"/>
          <w:szCs w:val="26"/>
          <w:lang w:val="uk-UA" w:eastAsia="ru-RU"/>
        </w:rPr>
        <w:t>Додаток 1</w:t>
      </w:r>
    </w:p>
    <w:p w14:paraId="2D76E11B" w14:textId="033208EB" w:rsidR="00AE6C1B" w:rsidRPr="00767D0D" w:rsidRDefault="00426B77" w:rsidP="00426B77">
      <w:pPr>
        <w:spacing w:after="0"/>
        <w:jc w:val="right"/>
        <w:rPr>
          <w:rFonts w:eastAsia="Times New Roman" w:cs="Times New Roman"/>
          <w:b/>
          <w:bCs/>
          <w:sz w:val="26"/>
          <w:szCs w:val="26"/>
          <w:lang w:val="uk-UA" w:eastAsia="ru-RU"/>
        </w:rPr>
      </w:pPr>
      <w:r w:rsidRPr="00767D0D">
        <w:rPr>
          <w:rFonts w:eastAsia="Times New Roman" w:cs="Times New Roman"/>
          <w:b/>
          <w:bCs/>
          <w:sz w:val="26"/>
          <w:szCs w:val="26"/>
          <w:lang w:val="uk-UA" w:eastAsia="ru-RU"/>
        </w:rPr>
        <w:t>до Методики</w:t>
      </w:r>
    </w:p>
    <w:p w14:paraId="43E37835" w14:textId="77777777" w:rsidR="00AE6C1B" w:rsidRPr="00767D0D" w:rsidRDefault="00AE6C1B" w:rsidP="00D225D6">
      <w:pPr>
        <w:spacing w:after="0"/>
        <w:rPr>
          <w:rFonts w:eastAsia="Times New Roman" w:cs="Times New Roman"/>
          <w:sz w:val="26"/>
          <w:szCs w:val="26"/>
          <w:lang w:val="uk-UA" w:eastAsia="ru-RU"/>
        </w:rPr>
      </w:pPr>
    </w:p>
    <w:p w14:paraId="4B5EF37F" w14:textId="77777777" w:rsidR="00AE6C1B" w:rsidRPr="00767D0D" w:rsidRDefault="00AE6C1B" w:rsidP="00D225D6">
      <w:pPr>
        <w:spacing w:after="0"/>
        <w:rPr>
          <w:rFonts w:eastAsia="Times New Roman" w:cs="Times New Roman"/>
          <w:sz w:val="26"/>
          <w:szCs w:val="26"/>
          <w:lang w:val="uk-UA" w:eastAsia="ru-RU"/>
        </w:rPr>
      </w:pPr>
    </w:p>
    <w:p w14:paraId="1C9DC242" w14:textId="1F432C1C" w:rsidR="00327558" w:rsidRPr="00767D0D" w:rsidRDefault="00D225D6" w:rsidP="00327558">
      <w:pPr>
        <w:spacing w:after="0"/>
        <w:jc w:val="center"/>
        <w:rPr>
          <w:rFonts w:cs="Times New Roman"/>
          <w:b/>
          <w:bCs/>
          <w:sz w:val="26"/>
          <w:szCs w:val="26"/>
          <w:shd w:val="clear" w:color="auto" w:fill="FFFFFF"/>
          <w:lang w:val="uk-UA"/>
        </w:rPr>
      </w:pPr>
      <w:bookmarkStart w:id="0" w:name="n76"/>
      <w:bookmarkEnd w:id="0"/>
      <w:r w:rsidRPr="00767D0D">
        <w:rPr>
          <w:rFonts w:eastAsia="Times New Roman" w:cs="Times New Roman"/>
          <w:b/>
          <w:bCs/>
          <w:sz w:val="26"/>
          <w:szCs w:val="26"/>
          <w:lang w:val="uk-UA" w:eastAsia="ru-RU"/>
        </w:rPr>
        <w:t>ОРЕНДНІ</w:t>
      </w:r>
      <w:r w:rsidRPr="00767D0D">
        <w:rPr>
          <w:rFonts w:eastAsia="Times New Roman" w:cs="Times New Roman"/>
          <w:sz w:val="26"/>
          <w:szCs w:val="26"/>
          <w:lang w:val="uk-UA" w:eastAsia="ru-RU"/>
        </w:rPr>
        <w:br/>
      </w:r>
      <w:r w:rsidRPr="00767D0D">
        <w:rPr>
          <w:rFonts w:eastAsia="Times New Roman" w:cs="Times New Roman"/>
          <w:b/>
          <w:bCs/>
          <w:sz w:val="26"/>
          <w:szCs w:val="26"/>
          <w:lang w:val="uk-UA" w:eastAsia="ru-RU"/>
        </w:rPr>
        <w:t xml:space="preserve">ставки для договорів оренди </w:t>
      </w:r>
      <w:r w:rsidR="00D21711" w:rsidRPr="00767D0D">
        <w:rPr>
          <w:rFonts w:eastAsia="Times New Roman" w:cs="Times New Roman"/>
          <w:b/>
          <w:bCs/>
          <w:sz w:val="26"/>
          <w:szCs w:val="26"/>
          <w:lang w:val="uk-UA" w:eastAsia="ru-RU"/>
        </w:rPr>
        <w:t>майна</w:t>
      </w:r>
      <w:r w:rsidR="00327558" w:rsidRPr="00767D0D">
        <w:rPr>
          <w:rFonts w:eastAsia="Times New Roman" w:cs="Times New Roman"/>
          <w:b/>
          <w:bCs/>
          <w:sz w:val="26"/>
          <w:szCs w:val="26"/>
          <w:lang w:val="uk-UA" w:eastAsia="ru-RU"/>
        </w:rPr>
        <w:t xml:space="preserve"> </w:t>
      </w:r>
      <w:r w:rsidR="00327558" w:rsidRPr="00767D0D">
        <w:rPr>
          <w:rFonts w:cs="Times New Roman"/>
          <w:b/>
          <w:bCs/>
          <w:sz w:val="26"/>
          <w:szCs w:val="26"/>
          <w:shd w:val="clear" w:color="auto" w:fill="FFFFFF"/>
          <w:lang w:val="uk-UA"/>
        </w:rPr>
        <w:t>спільної власності</w:t>
      </w:r>
    </w:p>
    <w:p w14:paraId="6B321280" w14:textId="77777777" w:rsidR="00327558" w:rsidRPr="00767D0D" w:rsidRDefault="00327558" w:rsidP="00327558">
      <w:pPr>
        <w:spacing w:after="0"/>
        <w:jc w:val="center"/>
        <w:rPr>
          <w:rFonts w:cs="Times New Roman"/>
          <w:b/>
          <w:bCs/>
          <w:sz w:val="26"/>
          <w:szCs w:val="26"/>
          <w:shd w:val="clear" w:color="auto" w:fill="FFFFFF"/>
          <w:lang w:val="uk-UA"/>
        </w:rPr>
      </w:pPr>
      <w:r w:rsidRPr="00767D0D">
        <w:rPr>
          <w:rFonts w:cs="Times New Roman"/>
          <w:b/>
          <w:bCs/>
          <w:sz w:val="26"/>
          <w:szCs w:val="26"/>
          <w:shd w:val="clear" w:color="auto" w:fill="FFFFFF"/>
          <w:lang w:val="uk-UA"/>
        </w:rPr>
        <w:t>територіальних громад сіл, селищ,</w:t>
      </w:r>
    </w:p>
    <w:p w14:paraId="2B9106C5" w14:textId="7AFC9F00" w:rsidR="00D225D6" w:rsidRPr="00767D0D" w:rsidRDefault="00327558" w:rsidP="00327558">
      <w:pPr>
        <w:shd w:val="clear" w:color="auto" w:fill="FFFFFF"/>
        <w:spacing w:after="0"/>
        <w:ind w:left="450" w:right="450"/>
        <w:jc w:val="center"/>
        <w:rPr>
          <w:rFonts w:eastAsia="Times New Roman" w:cs="Times New Roman"/>
          <w:sz w:val="26"/>
          <w:szCs w:val="26"/>
          <w:lang w:val="uk-UA" w:eastAsia="ru-RU"/>
        </w:rPr>
      </w:pPr>
      <w:r w:rsidRPr="00767D0D">
        <w:rPr>
          <w:rFonts w:cs="Times New Roman"/>
          <w:b/>
          <w:bCs/>
          <w:sz w:val="26"/>
          <w:szCs w:val="26"/>
          <w:shd w:val="clear" w:color="auto" w:fill="FFFFFF"/>
          <w:lang w:val="uk-UA"/>
        </w:rPr>
        <w:t>міст Волинської області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988"/>
        <w:gridCol w:w="6712"/>
        <w:gridCol w:w="1928"/>
      </w:tblGrid>
      <w:tr w:rsidR="002D6D24" w:rsidRPr="002D6D24" w14:paraId="4222D01C" w14:textId="77777777" w:rsidTr="002D6D24">
        <w:trPr>
          <w:tblHeader/>
          <w:jc w:val="center"/>
        </w:trPr>
        <w:tc>
          <w:tcPr>
            <w:tcW w:w="988" w:type="dxa"/>
            <w:vAlign w:val="center"/>
          </w:tcPr>
          <w:p w14:paraId="0FAA12A0" w14:textId="479A2177" w:rsidR="002D6D24" w:rsidRPr="002D6D24" w:rsidRDefault="002D6D24" w:rsidP="00D225D6">
            <w:pPr>
              <w:spacing w:after="0"/>
              <w:jc w:val="center"/>
              <w:rPr>
                <w:rFonts w:eastAsia="Times New Roman" w:cs="Times New Roman"/>
                <w:b/>
                <w:bCs/>
                <w:sz w:val="26"/>
                <w:szCs w:val="26"/>
                <w:lang w:val="uk-UA" w:eastAsia="ru-RU"/>
              </w:rPr>
            </w:pPr>
            <w:bookmarkStart w:id="1" w:name="n243"/>
            <w:bookmarkEnd w:id="1"/>
            <w:r w:rsidRPr="002D6D24">
              <w:rPr>
                <w:rFonts w:eastAsia="Times New Roman" w:cs="Times New Roman"/>
                <w:b/>
                <w:bCs/>
                <w:sz w:val="26"/>
                <w:szCs w:val="26"/>
                <w:lang w:val="uk-UA" w:eastAsia="ru-RU"/>
              </w:rPr>
              <w:t>№ з/п</w:t>
            </w:r>
          </w:p>
        </w:tc>
        <w:tc>
          <w:tcPr>
            <w:tcW w:w="6712" w:type="dxa"/>
            <w:vAlign w:val="center"/>
            <w:hideMark/>
          </w:tcPr>
          <w:p w14:paraId="75BD79EC" w14:textId="7217A1E0" w:rsidR="002D6D24" w:rsidRPr="002D6D24" w:rsidRDefault="002D6D24" w:rsidP="00D225D6">
            <w:pPr>
              <w:spacing w:after="0"/>
              <w:jc w:val="center"/>
              <w:rPr>
                <w:rFonts w:eastAsia="Times New Roman" w:cs="Times New Roman"/>
                <w:b/>
                <w:bCs/>
                <w:sz w:val="26"/>
                <w:szCs w:val="26"/>
                <w:lang w:val="uk-UA" w:eastAsia="ru-RU"/>
              </w:rPr>
            </w:pPr>
            <w:r w:rsidRPr="002D6D24">
              <w:rPr>
                <w:rFonts w:eastAsia="Times New Roman" w:cs="Times New Roman"/>
                <w:b/>
                <w:bCs/>
                <w:sz w:val="26"/>
                <w:szCs w:val="26"/>
                <w:lang w:val="uk-UA" w:eastAsia="ru-RU"/>
              </w:rPr>
              <w:t>Орендарі</w:t>
            </w:r>
          </w:p>
        </w:tc>
        <w:tc>
          <w:tcPr>
            <w:tcW w:w="1928" w:type="dxa"/>
            <w:vAlign w:val="center"/>
            <w:hideMark/>
          </w:tcPr>
          <w:p w14:paraId="00FB4215" w14:textId="7925CF99" w:rsidR="002D6D24" w:rsidRPr="002D6D24" w:rsidRDefault="002D6D24" w:rsidP="00D225D6">
            <w:pPr>
              <w:spacing w:after="0"/>
              <w:jc w:val="center"/>
              <w:rPr>
                <w:rFonts w:eastAsia="Times New Roman" w:cs="Times New Roman"/>
                <w:b/>
                <w:bCs/>
                <w:sz w:val="26"/>
                <w:szCs w:val="26"/>
                <w:lang w:val="uk-UA" w:eastAsia="ru-RU"/>
              </w:rPr>
            </w:pPr>
            <w:r w:rsidRPr="002D6D24">
              <w:rPr>
                <w:rFonts w:eastAsia="Times New Roman" w:cs="Times New Roman"/>
                <w:b/>
                <w:bCs/>
                <w:sz w:val="26"/>
                <w:szCs w:val="26"/>
                <w:lang w:val="uk-UA" w:eastAsia="ru-RU"/>
              </w:rPr>
              <w:t>Орендна ставка, відсотки</w:t>
            </w:r>
          </w:p>
        </w:tc>
      </w:tr>
      <w:tr w:rsidR="002D6D24" w:rsidRPr="00767D0D" w14:paraId="16D4B73C" w14:textId="77777777" w:rsidTr="002D6D24">
        <w:trPr>
          <w:jc w:val="center"/>
        </w:trPr>
        <w:tc>
          <w:tcPr>
            <w:tcW w:w="988" w:type="dxa"/>
          </w:tcPr>
          <w:p w14:paraId="3666790B"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544550FE" w14:textId="60E9DF27"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p w14:paraId="4C9689A7" w14:textId="2B2ED3A8"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462BBBE9"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10</w:t>
            </w:r>
          </w:p>
        </w:tc>
      </w:tr>
      <w:tr w:rsidR="002D6D24" w:rsidRPr="00767D0D" w14:paraId="58A9473C" w14:textId="77777777" w:rsidTr="002D6D24">
        <w:trPr>
          <w:jc w:val="center"/>
        </w:trPr>
        <w:tc>
          <w:tcPr>
            <w:tcW w:w="988" w:type="dxa"/>
          </w:tcPr>
          <w:p w14:paraId="3BC17FA8"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7029F951" w14:textId="0283BF04"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пунктах 11 та 18 цього додатка), на площі, що використовується для надання ліцензійних послуг</w:t>
            </w:r>
          </w:p>
          <w:p w14:paraId="79862740" w14:textId="3E7A973E"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2A9CB3C5"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10</w:t>
            </w:r>
          </w:p>
        </w:tc>
      </w:tr>
      <w:tr w:rsidR="002D6D24" w:rsidRPr="00767D0D" w14:paraId="5533275B" w14:textId="77777777" w:rsidTr="002D6D24">
        <w:trPr>
          <w:jc w:val="center"/>
        </w:trPr>
        <w:tc>
          <w:tcPr>
            <w:tcW w:w="988" w:type="dxa"/>
          </w:tcPr>
          <w:p w14:paraId="20F17FF3"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7315ECEA" w14:textId="53819682"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p w14:paraId="711EAB40" w14:textId="77777777"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409CAA04"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8</w:t>
            </w:r>
          </w:p>
        </w:tc>
      </w:tr>
      <w:tr w:rsidR="002D6D24" w:rsidRPr="00767D0D" w14:paraId="0D2E985B" w14:textId="77777777" w:rsidTr="002D6D24">
        <w:trPr>
          <w:jc w:val="center"/>
        </w:trPr>
        <w:tc>
          <w:tcPr>
            <w:tcW w:w="988" w:type="dxa"/>
          </w:tcPr>
          <w:p w14:paraId="3066F582"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2679A7F9" w14:textId="63B4F63E"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Державні та комунальні підприємства, установи, організації/громадські організації у сфері культури і мистецтв (у тому числі національні творчі спілки або їх члени під творчі майстерні), що частково утримуються за рахунок державного або місцевого бюджету</w:t>
            </w:r>
          </w:p>
        </w:tc>
        <w:tc>
          <w:tcPr>
            <w:tcW w:w="1928" w:type="dxa"/>
            <w:hideMark/>
          </w:tcPr>
          <w:p w14:paraId="242DD419"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4</w:t>
            </w:r>
          </w:p>
        </w:tc>
      </w:tr>
      <w:tr w:rsidR="002D6D24" w:rsidRPr="00767D0D" w14:paraId="1AFCCA2C" w14:textId="77777777" w:rsidTr="002D6D24">
        <w:trPr>
          <w:jc w:val="center"/>
        </w:trPr>
        <w:tc>
          <w:tcPr>
            <w:tcW w:w="988" w:type="dxa"/>
          </w:tcPr>
          <w:p w14:paraId="11D01417"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43E3280C" w14:textId="6FB033B7"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Державні видавництва і підприємства книгорозповсюдження</w:t>
            </w:r>
          </w:p>
          <w:p w14:paraId="43B20DDD" w14:textId="77C8CB20"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20CAB134"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4</w:t>
            </w:r>
          </w:p>
        </w:tc>
      </w:tr>
      <w:tr w:rsidR="002D6D24" w:rsidRPr="00767D0D" w14:paraId="2DB3A145" w14:textId="77777777" w:rsidTr="002D6D24">
        <w:trPr>
          <w:jc w:val="center"/>
        </w:trPr>
        <w:tc>
          <w:tcPr>
            <w:tcW w:w="988" w:type="dxa"/>
          </w:tcPr>
          <w:p w14:paraId="5FD0BDD7"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6EE4A8E3" w14:textId="4222CD4B"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Вітчизняні видавництва та підприємства книгорозповсюдження, що забезпечують підготовку, випуск та (або) розповсюдження не менш як 50 відсотків </w:t>
            </w:r>
            <w:r w:rsidRPr="00767D0D">
              <w:rPr>
                <w:rFonts w:eastAsia="Times New Roman" w:cs="Times New Roman"/>
                <w:sz w:val="26"/>
                <w:szCs w:val="26"/>
                <w:lang w:val="uk-UA" w:eastAsia="ru-RU"/>
              </w:rPr>
              <w:lastRenderedPageBreak/>
              <w:t>книжкової продукції державною мовою (за винятком видань рекламного та еротичного характеру)</w:t>
            </w:r>
          </w:p>
        </w:tc>
        <w:tc>
          <w:tcPr>
            <w:tcW w:w="1928" w:type="dxa"/>
            <w:hideMark/>
          </w:tcPr>
          <w:p w14:paraId="5530016D"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lastRenderedPageBreak/>
              <w:t>4</w:t>
            </w:r>
          </w:p>
        </w:tc>
      </w:tr>
      <w:tr w:rsidR="002D6D24" w:rsidRPr="00767D0D" w14:paraId="15959229" w14:textId="77777777" w:rsidTr="002D6D24">
        <w:trPr>
          <w:jc w:val="center"/>
        </w:trPr>
        <w:tc>
          <w:tcPr>
            <w:tcW w:w="988" w:type="dxa"/>
          </w:tcPr>
          <w:p w14:paraId="04052D48"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63C19741" w14:textId="1BC86C2D"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Дипломатичні представництва, консульські установи іноземних держав, представництва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p w14:paraId="5F3E9268" w14:textId="203AB8CE"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7E837E6A"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3FBC3DE7" w14:textId="77777777" w:rsidTr="002D6D24">
        <w:trPr>
          <w:jc w:val="center"/>
        </w:trPr>
        <w:tc>
          <w:tcPr>
            <w:tcW w:w="988" w:type="dxa"/>
          </w:tcPr>
          <w:p w14:paraId="7AE12967"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7816487C" w14:textId="0B96C1BE" w:rsidR="002D6D24" w:rsidRPr="00767D0D" w:rsidRDefault="002D6D24" w:rsidP="000418D4">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Державні заклади освіти, що частково фінансуються з державного бюджету, та комунальні заклади освіти, що частково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18 цього додатка та визначених у пункті 13 цієї Методики)</w:t>
            </w:r>
          </w:p>
          <w:p w14:paraId="2614E6DE" w14:textId="680705B3" w:rsidR="002D6D24" w:rsidRPr="00767D0D" w:rsidRDefault="002D6D24" w:rsidP="000418D4">
            <w:pPr>
              <w:spacing w:after="0"/>
              <w:jc w:val="both"/>
              <w:rPr>
                <w:rFonts w:eastAsia="Times New Roman" w:cs="Times New Roman"/>
                <w:sz w:val="26"/>
                <w:szCs w:val="26"/>
                <w:lang w:val="uk-UA" w:eastAsia="ru-RU"/>
              </w:rPr>
            </w:pPr>
          </w:p>
        </w:tc>
        <w:tc>
          <w:tcPr>
            <w:tcW w:w="1928" w:type="dxa"/>
            <w:hideMark/>
          </w:tcPr>
          <w:p w14:paraId="0AE9A06D"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6878F957" w14:textId="77777777" w:rsidTr="002D6D24">
        <w:trPr>
          <w:jc w:val="center"/>
        </w:trPr>
        <w:tc>
          <w:tcPr>
            <w:tcW w:w="988" w:type="dxa"/>
          </w:tcPr>
          <w:p w14:paraId="781E3F3B"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5025CB0C" w14:textId="0B6984B5"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p w14:paraId="339FAB9F" w14:textId="09E7A7F9"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0F87D166"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69FA260A" w14:textId="77777777" w:rsidTr="002D6D24">
        <w:trPr>
          <w:jc w:val="center"/>
        </w:trPr>
        <w:tc>
          <w:tcPr>
            <w:tcW w:w="988" w:type="dxa"/>
          </w:tcPr>
          <w:p w14:paraId="567FE2AE"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4E8FC732" w14:textId="73C795AF"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Приватні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p w14:paraId="04025CCB" w14:textId="54EB5E27"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69AE9795"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4322B71E" w14:textId="77777777" w:rsidTr="002D6D24">
        <w:trPr>
          <w:jc w:val="center"/>
        </w:trPr>
        <w:tc>
          <w:tcPr>
            <w:tcW w:w="988" w:type="dxa"/>
          </w:tcPr>
          <w:p w14:paraId="3418D313"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7FB78816" w14:textId="339CA90E"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Установи і організації, діяльність яких частково фінансується за рахунок державного бюджету, органи місцевого самоврядування та їх добровільні об’єднання (крім визначених у пункті 13 Методики)</w:t>
            </w:r>
          </w:p>
          <w:p w14:paraId="3C923196" w14:textId="7CD99A88"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4F852D2B"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00D2A466" w14:textId="77777777" w:rsidTr="002D6D24">
        <w:trPr>
          <w:jc w:val="center"/>
        </w:trPr>
        <w:tc>
          <w:tcPr>
            <w:tcW w:w="988" w:type="dxa"/>
          </w:tcPr>
          <w:p w14:paraId="69773A43" w14:textId="77777777" w:rsidR="002D6D24" w:rsidRPr="002D6D24" w:rsidRDefault="002D6D24" w:rsidP="002D6D24">
            <w:pPr>
              <w:pStyle w:val="a9"/>
              <w:numPr>
                <w:ilvl w:val="0"/>
                <w:numId w:val="2"/>
              </w:numPr>
              <w:spacing w:after="0"/>
              <w:jc w:val="both"/>
              <w:rPr>
                <w:rFonts w:eastAsia="Times New Roman" w:cs="Times New Roman"/>
                <w:color w:val="000000" w:themeColor="text1"/>
                <w:sz w:val="26"/>
                <w:szCs w:val="26"/>
                <w:lang w:val="uk-UA" w:eastAsia="ru-RU"/>
              </w:rPr>
            </w:pPr>
          </w:p>
        </w:tc>
        <w:tc>
          <w:tcPr>
            <w:tcW w:w="6712" w:type="dxa"/>
            <w:hideMark/>
          </w:tcPr>
          <w:p w14:paraId="033E578C" w14:textId="2584B2E2" w:rsidR="002D6D24" w:rsidRPr="00767D0D" w:rsidRDefault="002D6D24" w:rsidP="000418D4">
            <w:pPr>
              <w:spacing w:after="0"/>
              <w:jc w:val="both"/>
              <w:rPr>
                <w:rFonts w:eastAsia="Times New Roman" w:cs="Times New Roman"/>
                <w:color w:val="000000" w:themeColor="text1"/>
                <w:sz w:val="26"/>
                <w:szCs w:val="26"/>
                <w:lang w:val="uk-UA" w:eastAsia="ru-RU"/>
              </w:rPr>
            </w:pPr>
            <w:r w:rsidRPr="00767D0D">
              <w:rPr>
                <w:rFonts w:eastAsia="Times New Roman" w:cs="Times New Roman"/>
                <w:color w:val="000000" w:themeColor="text1"/>
                <w:sz w:val="26"/>
                <w:szCs w:val="26"/>
                <w:lang w:val="uk-UA" w:eastAsia="ru-RU"/>
              </w:rPr>
              <w:t>Комунальні заклади охорони здоров’я, які утримуються за рахунок місцевого бюджету (крім визначених у пункті 13 цієї Методики)</w:t>
            </w:r>
          </w:p>
          <w:p w14:paraId="25D7D457" w14:textId="70FD1F21"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63F9CA4C"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1051E9BC" w14:textId="77777777" w:rsidTr="002D6D24">
        <w:trPr>
          <w:jc w:val="center"/>
        </w:trPr>
        <w:tc>
          <w:tcPr>
            <w:tcW w:w="988" w:type="dxa"/>
          </w:tcPr>
          <w:p w14:paraId="745A40FB"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18DF710E" w14:textId="6648139C" w:rsidR="002D6D24" w:rsidRPr="00767D0D" w:rsidRDefault="002D6D24" w:rsidP="000C5F2B">
            <w:pPr>
              <w:spacing w:after="0"/>
              <w:jc w:val="both"/>
              <w:rPr>
                <w:rFonts w:eastAsia="Times New Roman" w:cs="Times New Roman"/>
                <w:sz w:val="26"/>
                <w:szCs w:val="26"/>
                <w:lang w:val="uk-UA" w:eastAsia="ru-RU"/>
              </w:rPr>
            </w:pPr>
            <w:bookmarkStart w:id="2" w:name="_Hlk188341902"/>
            <w:r w:rsidRPr="00767D0D">
              <w:rPr>
                <w:rFonts w:eastAsia="Times New Roman" w:cs="Times New Roman"/>
                <w:sz w:val="26"/>
                <w:szCs w:val="26"/>
                <w:lang w:val="uk-UA" w:eastAsia="ru-RU"/>
              </w:rPr>
              <w:t>Музеї, крім тих, які повністю фінансуються за рахунок обласного бюджету</w:t>
            </w:r>
            <w:bookmarkEnd w:id="2"/>
          </w:p>
          <w:p w14:paraId="2BF987EA" w14:textId="5F81C942"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1EDFF1F4"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524CABCB" w14:textId="77777777" w:rsidTr="002D6D24">
        <w:trPr>
          <w:jc w:val="center"/>
        </w:trPr>
        <w:tc>
          <w:tcPr>
            <w:tcW w:w="988" w:type="dxa"/>
          </w:tcPr>
          <w:p w14:paraId="3B30F8FD"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7A990D1E" w14:textId="2E8B1E97"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p w14:paraId="31808317" w14:textId="4F00EF5D"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2A31C483"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3A6DF6FB" w14:textId="77777777" w:rsidTr="002D6D24">
        <w:trPr>
          <w:jc w:val="center"/>
        </w:trPr>
        <w:tc>
          <w:tcPr>
            <w:tcW w:w="988" w:type="dxa"/>
          </w:tcPr>
          <w:p w14:paraId="2E594373"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5D0C0CF6" w14:textId="6866C26E"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proofErr w:type="spellStart"/>
            <w:r w:rsidRPr="00767D0D">
              <w:rPr>
                <w:rFonts w:eastAsia="Times New Roman" w:cs="Times New Roman"/>
                <w:sz w:val="26"/>
                <w:szCs w:val="26"/>
                <w:lang w:val="uk-UA" w:eastAsia="ru-RU"/>
              </w:rPr>
              <w:t>паралімпійської</w:t>
            </w:r>
            <w:proofErr w:type="spellEnd"/>
            <w:r w:rsidRPr="00767D0D">
              <w:rPr>
                <w:rFonts w:eastAsia="Times New Roman" w:cs="Times New Roman"/>
                <w:sz w:val="26"/>
                <w:szCs w:val="26"/>
                <w:lang w:val="uk-UA" w:eastAsia="ru-RU"/>
              </w:rPr>
              <w:t xml:space="preserve"> та </w:t>
            </w:r>
            <w:proofErr w:type="spellStart"/>
            <w:r w:rsidRPr="00767D0D">
              <w:rPr>
                <w:rFonts w:eastAsia="Times New Roman" w:cs="Times New Roman"/>
                <w:sz w:val="26"/>
                <w:szCs w:val="26"/>
                <w:lang w:val="uk-UA" w:eastAsia="ru-RU"/>
              </w:rPr>
              <w:t>дефлімпійської</w:t>
            </w:r>
            <w:proofErr w:type="spellEnd"/>
            <w:r w:rsidRPr="00767D0D">
              <w:rPr>
                <w:rFonts w:eastAsia="Times New Roman" w:cs="Times New Roman"/>
                <w:sz w:val="26"/>
                <w:szCs w:val="26"/>
                <w:lang w:val="uk-UA" w:eastAsia="ru-RU"/>
              </w:rPr>
              <w:t xml:space="preserve"> підготовки (крім орендарів, зазначених у </w:t>
            </w:r>
            <w:hyperlink r:id="rId8" w:anchor="n49" w:history="1">
              <w:r w:rsidRPr="00767D0D">
                <w:rPr>
                  <w:rFonts w:eastAsia="Times New Roman" w:cs="Times New Roman"/>
                  <w:sz w:val="26"/>
                  <w:szCs w:val="26"/>
                  <w:lang w:val="uk-UA" w:eastAsia="ru-RU"/>
                </w:rPr>
                <w:t>пункті 13</w:t>
              </w:r>
            </w:hyperlink>
            <w:r w:rsidRPr="00767D0D">
              <w:rPr>
                <w:rFonts w:eastAsia="Times New Roman" w:cs="Times New Roman"/>
                <w:sz w:val="26"/>
                <w:szCs w:val="26"/>
                <w:lang w:val="uk-UA" w:eastAsia="ru-RU"/>
              </w:rPr>
              <w:t> цієї Методики)</w:t>
            </w:r>
          </w:p>
          <w:p w14:paraId="626776E7" w14:textId="5C99266B"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36497082"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7B40B6CF" w14:textId="77777777" w:rsidTr="002D6D24">
        <w:trPr>
          <w:jc w:val="center"/>
        </w:trPr>
        <w:tc>
          <w:tcPr>
            <w:tcW w:w="988" w:type="dxa"/>
          </w:tcPr>
          <w:p w14:paraId="30F6BB04" w14:textId="77777777" w:rsidR="002D6D24" w:rsidRPr="002D6D24" w:rsidRDefault="002D6D24" w:rsidP="002D6D24">
            <w:pPr>
              <w:pStyle w:val="a9"/>
              <w:numPr>
                <w:ilvl w:val="0"/>
                <w:numId w:val="2"/>
              </w:numPr>
              <w:spacing w:after="0"/>
              <w:jc w:val="both"/>
              <w:rPr>
                <w:rFonts w:eastAsia="Times New Roman" w:cs="Times New Roman"/>
                <w:color w:val="000000" w:themeColor="text1"/>
                <w:sz w:val="26"/>
                <w:szCs w:val="26"/>
                <w:lang w:val="uk-UA" w:eastAsia="ru-RU"/>
              </w:rPr>
            </w:pPr>
          </w:p>
        </w:tc>
        <w:tc>
          <w:tcPr>
            <w:tcW w:w="6712" w:type="dxa"/>
            <w:hideMark/>
          </w:tcPr>
          <w:p w14:paraId="464916C9" w14:textId="215EB514"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color w:val="000000" w:themeColor="text1"/>
                <w:sz w:val="26"/>
                <w:szCs w:val="26"/>
                <w:lang w:val="uk-UA" w:eastAsia="ru-RU"/>
              </w:rPr>
              <w:t xml:space="preserve">Комунальні </w:t>
            </w:r>
            <w:r w:rsidRPr="00767D0D">
              <w:rPr>
                <w:rFonts w:eastAsia="Times New Roman" w:cs="Times New Roman"/>
                <w:sz w:val="26"/>
                <w:szCs w:val="26"/>
                <w:lang w:val="uk-UA" w:eastAsia="ru-RU"/>
              </w:rPr>
              <w:t>заклади охорони здоров’я, які утримуються за рахунок місцевих бюджетів, та комунальні некомерційні підприємства, що утворилися у результаті реорганізації комунальних закладів охорони здоров’я (крім визначених у пункті 13 цієї Методики)</w:t>
            </w:r>
          </w:p>
          <w:p w14:paraId="27A8C72A" w14:textId="1EF615C6"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10ED50C8"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2D6D24" w:rsidRPr="00767D0D" w14:paraId="0F4A19D1" w14:textId="77777777" w:rsidTr="002D6D24">
        <w:trPr>
          <w:jc w:val="center"/>
        </w:trPr>
        <w:tc>
          <w:tcPr>
            <w:tcW w:w="988" w:type="dxa"/>
          </w:tcPr>
          <w:p w14:paraId="0A14689B"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47B4D294" w14:textId="030B513B"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r w:rsidRPr="00767D0D">
              <w:rPr>
                <w:rFonts w:cs="Times New Roman"/>
                <w:sz w:val="26"/>
                <w:szCs w:val="26"/>
                <w:lang w:val="uk-UA"/>
              </w:rPr>
              <w:t xml:space="preserve"> </w:t>
            </w:r>
            <w:r w:rsidRPr="00767D0D">
              <w:rPr>
                <w:rFonts w:eastAsia="Times New Roman" w:cs="Times New Roman"/>
                <w:sz w:val="26"/>
                <w:szCs w:val="26"/>
                <w:lang w:val="uk-UA" w:eastAsia="ru-RU"/>
              </w:rPr>
              <w:t>(крім визначених у пункті 13 цієї Методики)</w:t>
            </w:r>
          </w:p>
          <w:p w14:paraId="7CB21F34" w14:textId="7CFBFA4D" w:rsidR="002D6D24" w:rsidRPr="00767D0D" w:rsidRDefault="002D6D24" w:rsidP="000C5F2B">
            <w:pPr>
              <w:spacing w:after="0"/>
              <w:jc w:val="both"/>
              <w:rPr>
                <w:rFonts w:eastAsia="Times New Roman" w:cs="Times New Roman"/>
                <w:sz w:val="26"/>
                <w:szCs w:val="26"/>
                <w:lang w:val="uk-UA" w:eastAsia="ru-RU"/>
              </w:rPr>
            </w:pPr>
          </w:p>
        </w:tc>
        <w:tc>
          <w:tcPr>
            <w:tcW w:w="1928" w:type="dxa"/>
            <w:hideMark/>
          </w:tcPr>
          <w:p w14:paraId="5863FF68"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1</w:t>
            </w:r>
          </w:p>
        </w:tc>
      </w:tr>
      <w:tr w:rsidR="002D6D24" w:rsidRPr="00767D0D" w14:paraId="0AD6E42D" w14:textId="77777777" w:rsidTr="00850805">
        <w:trPr>
          <w:trHeight w:val="112"/>
          <w:jc w:val="center"/>
        </w:trPr>
        <w:tc>
          <w:tcPr>
            <w:tcW w:w="988" w:type="dxa"/>
          </w:tcPr>
          <w:p w14:paraId="60F6FD63"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28CD2305" w14:textId="6FB25D64" w:rsidR="002D6D24" w:rsidRPr="00767D0D" w:rsidRDefault="002D6D24" w:rsidP="00850805">
            <w:pPr>
              <w:spacing w:after="0"/>
              <w:jc w:val="both"/>
              <w:rPr>
                <w:rFonts w:eastAsia="Times New Roman" w:cs="Times New Roman"/>
                <w:sz w:val="26"/>
                <w:szCs w:val="26"/>
                <w:lang w:val="uk-UA" w:eastAsia="ru-RU"/>
              </w:rPr>
            </w:pPr>
            <w:r w:rsidRPr="002D6D24">
              <w:rPr>
                <w:rFonts w:eastAsia="Times New Roman" w:cs="Times New Roman"/>
                <w:sz w:val="26"/>
                <w:szCs w:val="26"/>
                <w:lang w:val="uk-UA" w:eastAsia="ru-RU"/>
              </w:rPr>
              <w:t>Надавачі соціальних послуг, які включені до Реєстру надавачів та отримувачів соціальних послуг, відповідно до Закону України «Про соціальні послуги» та підприємства, установи, організації, що надають соціально важливі послуги населенню територіальних громад сіл, селищ, міст області</w:t>
            </w:r>
          </w:p>
        </w:tc>
        <w:tc>
          <w:tcPr>
            <w:tcW w:w="1928" w:type="dxa"/>
            <w:hideMark/>
          </w:tcPr>
          <w:p w14:paraId="60C54437"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1</w:t>
            </w:r>
          </w:p>
        </w:tc>
      </w:tr>
      <w:tr w:rsidR="00850805" w:rsidRPr="00767D0D" w14:paraId="619318C0" w14:textId="77777777" w:rsidTr="002D6D24">
        <w:trPr>
          <w:jc w:val="center"/>
        </w:trPr>
        <w:tc>
          <w:tcPr>
            <w:tcW w:w="988" w:type="dxa"/>
            <w:vMerge w:val="restart"/>
          </w:tcPr>
          <w:p w14:paraId="4E9F005C" w14:textId="77777777" w:rsidR="00850805" w:rsidRPr="002D6D24" w:rsidRDefault="00850805"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70FC3EED" w14:textId="4668DC54"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Релігійні організації для забезпечення проведення релігійних обрядів та церемоній:</w:t>
            </w:r>
          </w:p>
        </w:tc>
        <w:tc>
          <w:tcPr>
            <w:tcW w:w="1928" w:type="dxa"/>
            <w:hideMark/>
          </w:tcPr>
          <w:p w14:paraId="18070D3A" w14:textId="77777777" w:rsidR="00850805" w:rsidRPr="00767D0D" w:rsidRDefault="00850805" w:rsidP="00D225D6">
            <w:pPr>
              <w:spacing w:after="0"/>
              <w:jc w:val="center"/>
              <w:rPr>
                <w:rFonts w:eastAsia="Times New Roman" w:cs="Times New Roman"/>
                <w:sz w:val="26"/>
                <w:szCs w:val="26"/>
                <w:lang w:val="uk-UA" w:eastAsia="ru-RU"/>
              </w:rPr>
            </w:pPr>
          </w:p>
        </w:tc>
      </w:tr>
      <w:tr w:rsidR="00850805" w:rsidRPr="00767D0D" w14:paraId="4472225C" w14:textId="77777777" w:rsidTr="002D6D24">
        <w:trPr>
          <w:jc w:val="center"/>
        </w:trPr>
        <w:tc>
          <w:tcPr>
            <w:tcW w:w="988" w:type="dxa"/>
            <w:vMerge/>
          </w:tcPr>
          <w:p w14:paraId="0714C446" w14:textId="77777777" w:rsidR="00850805" w:rsidRPr="002D6D24" w:rsidRDefault="00850805" w:rsidP="002D6D24">
            <w:pPr>
              <w:spacing w:after="0"/>
              <w:ind w:left="360"/>
              <w:jc w:val="both"/>
              <w:rPr>
                <w:rFonts w:eastAsia="Times New Roman" w:cs="Times New Roman"/>
                <w:sz w:val="26"/>
                <w:szCs w:val="26"/>
                <w:lang w:val="uk-UA" w:eastAsia="ru-RU"/>
              </w:rPr>
            </w:pPr>
          </w:p>
        </w:tc>
        <w:tc>
          <w:tcPr>
            <w:tcW w:w="6712" w:type="dxa"/>
            <w:hideMark/>
          </w:tcPr>
          <w:p w14:paraId="63295DCE" w14:textId="44DDABCE"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на площі не більше ніж 50 </w:t>
            </w:r>
            <w:proofErr w:type="spellStart"/>
            <w:r w:rsidRPr="00767D0D">
              <w:rPr>
                <w:rFonts w:eastAsia="Times New Roman" w:cs="Times New Roman"/>
                <w:sz w:val="26"/>
                <w:szCs w:val="26"/>
                <w:lang w:val="uk-UA" w:eastAsia="ru-RU"/>
              </w:rPr>
              <w:t>кв</w:t>
            </w:r>
            <w:proofErr w:type="spellEnd"/>
            <w:r w:rsidRPr="00767D0D">
              <w:rPr>
                <w:rFonts w:eastAsia="Times New Roman" w:cs="Times New Roman"/>
                <w:sz w:val="26"/>
                <w:szCs w:val="26"/>
                <w:lang w:val="uk-UA" w:eastAsia="ru-RU"/>
              </w:rPr>
              <w:t>. метрів</w:t>
            </w:r>
          </w:p>
        </w:tc>
        <w:tc>
          <w:tcPr>
            <w:tcW w:w="1928" w:type="dxa"/>
            <w:hideMark/>
          </w:tcPr>
          <w:p w14:paraId="4500A2CB" w14:textId="77777777" w:rsidR="00850805" w:rsidRPr="00767D0D" w:rsidRDefault="00850805"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850805" w:rsidRPr="00767D0D" w14:paraId="5FBEA108" w14:textId="77777777" w:rsidTr="002D6D24">
        <w:trPr>
          <w:jc w:val="center"/>
        </w:trPr>
        <w:tc>
          <w:tcPr>
            <w:tcW w:w="988" w:type="dxa"/>
            <w:vMerge/>
          </w:tcPr>
          <w:p w14:paraId="02427B07" w14:textId="77777777" w:rsidR="00850805" w:rsidRPr="002D6D24" w:rsidRDefault="00850805" w:rsidP="002D6D24">
            <w:pPr>
              <w:spacing w:after="0"/>
              <w:ind w:left="360"/>
              <w:jc w:val="both"/>
              <w:rPr>
                <w:rFonts w:eastAsia="Times New Roman" w:cs="Times New Roman"/>
                <w:sz w:val="26"/>
                <w:szCs w:val="26"/>
                <w:lang w:val="uk-UA" w:eastAsia="ru-RU"/>
              </w:rPr>
            </w:pPr>
          </w:p>
        </w:tc>
        <w:tc>
          <w:tcPr>
            <w:tcW w:w="6712" w:type="dxa"/>
            <w:hideMark/>
          </w:tcPr>
          <w:p w14:paraId="699CEA60" w14:textId="42BA5B04"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на частині площі, що перевищує 50 </w:t>
            </w:r>
            <w:proofErr w:type="spellStart"/>
            <w:r w:rsidRPr="00767D0D">
              <w:rPr>
                <w:rFonts w:eastAsia="Times New Roman" w:cs="Times New Roman"/>
                <w:sz w:val="26"/>
                <w:szCs w:val="26"/>
                <w:lang w:val="uk-UA" w:eastAsia="ru-RU"/>
              </w:rPr>
              <w:t>кв</w:t>
            </w:r>
            <w:proofErr w:type="spellEnd"/>
            <w:r w:rsidRPr="00767D0D">
              <w:rPr>
                <w:rFonts w:eastAsia="Times New Roman" w:cs="Times New Roman"/>
                <w:sz w:val="26"/>
                <w:szCs w:val="26"/>
                <w:lang w:val="uk-UA" w:eastAsia="ru-RU"/>
              </w:rPr>
              <w:t>. метрів</w:t>
            </w:r>
          </w:p>
        </w:tc>
        <w:tc>
          <w:tcPr>
            <w:tcW w:w="1928" w:type="dxa"/>
            <w:hideMark/>
          </w:tcPr>
          <w:p w14:paraId="43D8659A" w14:textId="77777777" w:rsidR="00850805" w:rsidRPr="00767D0D" w:rsidRDefault="00850805"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7</w:t>
            </w:r>
          </w:p>
        </w:tc>
      </w:tr>
      <w:tr w:rsidR="00850805" w:rsidRPr="00767D0D" w14:paraId="4F8FC39C" w14:textId="77777777" w:rsidTr="002D6D24">
        <w:trPr>
          <w:jc w:val="center"/>
        </w:trPr>
        <w:tc>
          <w:tcPr>
            <w:tcW w:w="988" w:type="dxa"/>
            <w:vMerge w:val="restart"/>
          </w:tcPr>
          <w:p w14:paraId="1A85195F" w14:textId="77777777" w:rsidR="00850805" w:rsidRPr="002D6D24" w:rsidRDefault="00850805"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2F3492D0" w14:textId="063CC0E2"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w:t>
            </w:r>
            <w:hyperlink r:id="rId9" w:anchor="n49" w:history="1">
              <w:r w:rsidRPr="00767D0D">
                <w:rPr>
                  <w:rFonts w:eastAsia="Times New Roman" w:cs="Times New Roman"/>
                  <w:sz w:val="26"/>
                  <w:szCs w:val="26"/>
                  <w:lang w:val="uk-UA" w:eastAsia="ru-RU"/>
                </w:rPr>
                <w:t>пункт 13</w:t>
              </w:r>
            </w:hyperlink>
            <w:r w:rsidRPr="00767D0D">
              <w:rPr>
                <w:rFonts w:eastAsia="Times New Roman" w:cs="Times New Roman"/>
                <w:sz w:val="26"/>
                <w:szCs w:val="26"/>
                <w:lang w:val="uk-UA" w:eastAsia="ru-RU"/>
              </w:rPr>
              <w:t> цієї Методики):</w:t>
            </w:r>
          </w:p>
        </w:tc>
        <w:tc>
          <w:tcPr>
            <w:tcW w:w="1928" w:type="dxa"/>
            <w:hideMark/>
          </w:tcPr>
          <w:p w14:paraId="0EF1066A" w14:textId="77777777" w:rsidR="00850805" w:rsidRPr="00767D0D" w:rsidRDefault="00850805" w:rsidP="00D225D6">
            <w:pPr>
              <w:spacing w:after="0"/>
              <w:jc w:val="center"/>
              <w:rPr>
                <w:rFonts w:eastAsia="Times New Roman" w:cs="Times New Roman"/>
                <w:sz w:val="26"/>
                <w:szCs w:val="26"/>
                <w:lang w:val="uk-UA" w:eastAsia="ru-RU"/>
              </w:rPr>
            </w:pPr>
          </w:p>
        </w:tc>
      </w:tr>
      <w:tr w:rsidR="00850805" w:rsidRPr="00767D0D" w14:paraId="7D4F5E81" w14:textId="77777777" w:rsidTr="002D6D24">
        <w:trPr>
          <w:jc w:val="center"/>
        </w:trPr>
        <w:tc>
          <w:tcPr>
            <w:tcW w:w="988" w:type="dxa"/>
            <w:vMerge/>
          </w:tcPr>
          <w:p w14:paraId="326DB86F" w14:textId="77777777" w:rsidR="00850805" w:rsidRPr="00767D0D" w:rsidRDefault="00850805" w:rsidP="000C5F2B">
            <w:pPr>
              <w:spacing w:after="0"/>
              <w:jc w:val="both"/>
              <w:rPr>
                <w:rFonts w:eastAsia="Times New Roman" w:cs="Times New Roman"/>
                <w:sz w:val="26"/>
                <w:szCs w:val="26"/>
                <w:lang w:val="uk-UA" w:eastAsia="ru-RU"/>
              </w:rPr>
            </w:pPr>
          </w:p>
        </w:tc>
        <w:tc>
          <w:tcPr>
            <w:tcW w:w="6712" w:type="dxa"/>
            <w:hideMark/>
          </w:tcPr>
          <w:p w14:paraId="59500CDD" w14:textId="7F2B1265"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на площі не більше ніж 50 </w:t>
            </w:r>
            <w:proofErr w:type="spellStart"/>
            <w:r w:rsidRPr="00767D0D">
              <w:rPr>
                <w:rFonts w:eastAsia="Times New Roman" w:cs="Times New Roman"/>
                <w:sz w:val="26"/>
                <w:szCs w:val="26"/>
                <w:lang w:val="uk-UA" w:eastAsia="ru-RU"/>
              </w:rPr>
              <w:t>кв</w:t>
            </w:r>
            <w:proofErr w:type="spellEnd"/>
            <w:r w:rsidRPr="00767D0D">
              <w:rPr>
                <w:rFonts w:eastAsia="Times New Roman" w:cs="Times New Roman"/>
                <w:sz w:val="26"/>
                <w:szCs w:val="26"/>
                <w:lang w:val="uk-UA" w:eastAsia="ru-RU"/>
              </w:rPr>
              <w:t>. метрів</w:t>
            </w:r>
          </w:p>
        </w:tc>
        <w:tc>
          <w:tcPr>
            <w:tcW w:w="1928" w:type="dxa"/>
            <w:hideMark/>
          </w:tcPr>
          <w:p w14:paraId="6F0A6847" w14:textId="77777777" w:rsidR="00850805" w:rsidRPr="00767D0D" w:rsidRDefault="00850805"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3</w:t>
            </w:r>
          </w:p>
        </w:tc>
      </w:tr>
      <w:tr w:rsidR="00850805" w:rsidRPr="00767D0D" w14:paraId="68E774D8" w14:textId="77777777" w:rsidTr="002D6D24">
        <w:trPr>
          <w:jc w:val="center"/>
        </w:trPr>
        <w:tc>
          <w:tcPr>
            <w:tcW w:w="988" w:type="dxa"/>
            <w:vMerge/>
          </w:tcPr>
          <w:p w14:paraId="34CFF0B5" w14:textId="77777777" w:rsidR="00850805" w:rsidRPr="00767D0D" w:rsidRDefault="00850805" w:rsidP="000C5F2B">
            <w:pPr>
              <w:spacing w:after="0"/>
              <w:jc w:val="both"/>
              <w:rPr>
                <w:rFonts w:eastAsia="Times New Roman" w:cs="Times New Roman"/>
                <w:sz w:val="26"/>
                <w:szCs w:val="26"/>
                <w:lang w:val="uk-UA" w:eastAsia="ru-RU"/>
              </w:rPr>
            </w:pPr>
          </w:p>
        </w:tc>
        <w:tc>
          <w:tcPr>
            <w:tcW w:w="6712" w:type="dxa"/>
            <w:hideMark/>
          </w:tcPr>
          <w:p w14:paraId="75946013" w14:textId="36494B06"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на частині площі, що перевищує 50 </w:t>
            </w:r>
            <w:proofErr w:type="spellStart"/>
            <w:r w:rsidRPr="00767D0D">
              <w:rPr>
                <w:rFonts w:eastAsia="Times New Roman" w:cs="Times New Roman"/>
                <w:sz w:val="26"/>
                <w:szCs w:val="26"/>
                <w:lang w:val="uk-UA" w:eastAsia="ru-RU"/>
              </w:rPr>
              <w:t>кв</w:t>
            </w:r>
            <w:proofErr w:type="spellEnd"/>
            <w:r w:rsidRPr="00767D0D">
              <w:rPr>
                <w:rFonts w:eastAsia="Times New Roman" w:cs="Times New Roman"/>
                <w:sz w:val="26"/>
                <w:szCs w:val="26"/>
                <w:lang w:val="uk-UA" w:eastAsia="ru-RU"/>
              </w:rPr>
              <w:t>. метрів</w:t>
            </w:r>
          </w:p>
          <w:p w14:paraId="68E97EA9" w14:textId="7B443FAF" w:rsidR="00850805" w:rsidRPr="00767D0D" w:rsidRDefault="00850805" w:rsidP="000C5F2B">
            <w:pPr>
              <w:spacing w:after="0"/>
              <w:jc w:val="both"/>
              <w:rPr>
                <w:rFonts w:eastAsia="Times New Roman" w:cs="Times New Roman"/>
                <w:sz w:val="26"/>
                <w:szCs w:val="26"/>
                <w:lang w:val="uk-UA" w:eastAsia="ru-RU"/>
              </w:rPr>
            </w:pPr>
          </w:p>
        </w:tc>
        <w:tc>
          <w:tcPr>
            <w:tcW w:w="1928" w:type="dxa"/>
            <w:hideMark/>
          </w:tcPr>
          <w:p w14:paraId="60AD06B7" w14:textId="77777777" w:rsidR="00850805" w:rsidRPr="00767D0D" w:rsidRDefault="00850805"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7</w:t>
            </w:r>
          </w:p>
        </w:tc>
      </w:tr>
      <w:tr w:rsidR="00850805" w:rsidRPr="00767D0D" w14:paraId="043EC2A0" w14:textId="77777777" w:rsidTr="002D6D24">
        <w:trPr>
          <w:jc w:val="center"/>
        </w:trPr>
        <w:tc>
          <w:tcPr>
            <w:tcW w:w="988" w:type="dxa"/>
            <w:vMerge w:val="restart"/>
          </w:tcPr>
          <w:p w14:paraId="739C77AE" w14:textId="77777777" w:rsidR="00850805" w:rsidRPr="002D6D24" w:rsidRDefault="00850805"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127A5E8F" w14:textId="3283412B"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Громадські організації ветеранів для розміщення реабілітаційних установ для ветеранів:</w:t>
            </w:r>
          </w:p>
        </w:tc>
        <w:tc>
          <w:tcPr>
            <w:tcW w:w="1928" w:type="dxa"/>
            <w:hideMark/>
          </w:tcPr>
          <w:p w14:paraId="7B8A507D" w14:textId="77777777" w:rsidR="00850805" w:rsidRPr="00767D0D" w:rsidRDefault="00850805" w:rsidP="00D225D6">
            <w:pPr>
              <w:spacing w:after="0"/>
              <w:jc w:val="center"/>
              <w:rPr>
                <w:rFonts w:eastAsia="Times New Roman" w:cs="Times New Roman"/>
                <w:sz w:val="26"/>
                <w:szCs w:val="26"/>
                <w:lang w:val="uk-UA" w:eastAsia="ru-RU"/>
              </w:rPr>
            </w:pPr>
          </w:p>
        </w:tc>
      </w:tr>
      <w:tr w:rsidR="00850805" w:rsidRPr="00767D0D" w14:paraId="0B61AF61" w14:textId="77777777" w:rsidTr="002D6D24">
        <w:trPr>
          <w:jc w:val="center"/>
        </w:trPr>
        <w:tc>
          <w:tcPr>
            <w:tcW w:w="988" w:type="dxa"/>
            <w:vMerge/>
          </w:tcPr>
          <w:p w14:paraId="56DDD560" w14:textId="77777777" w:rsidR="00850805" w:rsidRPr="00767D0D" w:rsidRDefault="00850805" w:rsidP="000C5F2B">
            <w:pPr>
              <w:spacing w:after="0"/>
              <w:jc w:val="both"/>
              <w:rPr>
                <w:rFonts w:eastAsia="Times New Roman" w:cs="Times New Roman"/>
                <w:sz w:val="26"/>
                <w:szCs w:val="26"/>
                <w:lang w:val="uk-UA" w:eastAsia="ru-RU"/>
              </w:rPr>
            </w:pPr>
          </w:p>
        </w:tc>
        <w:tc>
          <w:tcPr>
            <w:tcW w:w="6712" w:type="dxa"/>
            <w:hideMark/>
          </w:tcPr>
          <w:p w14:paraId="76BD274C" w14:textId="54A847F8"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на площі не більше ніж 100 </w:t>
            </w:r>
            <w:proofErr w:type="spellStart"/>
            <w:r w:rsidRPr="00767D0D">
              <w:rPr>
                <w:rFonts w:eastAsia="Times New Roman" w:cs="Times New Roman"/>
                <w:sz w:val="26"/>
                <w:szCs w:val="26"/>
                <w:lang w:val="uk-UA" w:eastAsia="ru-RU"/>
              </w:rPr>
              <w:t>кв</w:t>
            </w:r>
            <w:proofErr w:type="spellEnd"/>
            <w:r w:rsidRPr="00767D0D">
              <w:rPr>
                <w:rFonts w:eastAsia="Times New Roman" w:cs="Times New Roman"/>
                <w:sz w:val="26"/>
                <w:szCs w:val="26"/>
                <w:lang w:val="uk-UA" w:eastAsia="ru-RU"/>
              </w:rPr>
              <w:t>. метрів</w:t>
            </w:r>
          </w:p>
        </w:tc>
        <w:tc>
          <w:tcPr>
            <w:tcW w:w="1928" w:type="dxa"/>
            <w:hideMark/>
          </w:tcPr>
          <w:p w14:paraId="51999122" w14:textId="77777777" w:rsidR="00850805" w:rsidRPr="00767D0D" w:rsidRDefault="00850805"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4</w:t>
            </w:r>
          </w:p>
        </w:tc>
      </w:tr>
      <w:tr w:rsidR="00850805" w:rsidRPr="00767D0D" w14:paraId="1D3A4B5B" w14:textId="77777777" w:rsidTr="002D6D24">
        <w:trPr>
          <w:jc w:val="center"/>
        </w:trPr>
        <w:tc>
          <w:tcPr>
            <w:tcW w:w="988" w:type="dxa"/>
            <w:vMerge/>
          </w:tcPr>
          <w:p w14:paraId="66BB0C1F" w14:textId="77777777" w:rsidR="00850805" w:rsidRPr="00767D0D" w:rsidRDefault="00850805" w:rsidP="000C5F2B">
            <w:pPr>
              <w:spacing w:after="0"/>
              <w:jc w:val="both"/>
              <w:rPr>
                <w:rFonts w:eastAsia="Times New Roman" w:cs="Times New Roman"/>
                <w:sz w:val="26"/>
                <w:szCs w:val="26"/>
                <w:lang w:val="uk-UA" w:eastAsia="ru-RU"/>
              </w:rPr>
            </w:pPr>
          </w:p>
        </w:tc>
        <w:tc>
          <w:tcPr>
            <w:tcW w:w="6712" w:type="dxa"/>
            <w:hideMark/>
          </w:tcPr>
          <w:p w14:paraId="33D59C5A" w14:textId="174FAD60"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на частині площі, що перевищує 100 </w:t>
            </w:r>
            <w:proofErr w:type="spellStart"/>
            <w:r w:rsidRPr="00767D0D">
              <w:rPr>
                <w:rFonts w:eastAsia="Times New Roman" w:cs="Times New Roman"/>
                <w:sz w:val="26"/>
                <w:szCs w:val="26"/>
                <w:lang w:val="uk-UA" w:eastAsia="ru-RU"/>
              </w:rPr>
              <w:t>кв</w:t>
            </w:r>
            <w:proofErr w:type="spellEnd"/>
            <w:r w:rsidRPr="00767D0D">
              <w:rPr>
                <w:rFonts w:eastAsia="Times New Roman" w:cs="Times New Roman"/>
                <w:sz w:val="26"/>
                <w:szCs w:val="26"/>
                <w:lang w:val="uk-UA" w:eastAsia="ru-RU"/>
              </w:rPr>
              <w:t>. метрів</w:t>
            </w:r>
          </w:p>
          <w:p w14:paraId="3D91D08A" w14:textId="5836A58C" w:rsidR="00850805" w:rsidRPr="00767D0D" w:rsidRDefault="00850805" w:rsidP="000C5F2B">
            <w:pPr>
              <w:spacing w:after="0"/>
              <w:jc w:val="both"/>
              <w:rPr>
                <w:rFonts w:eastAsia="Times New Roman" w:cs="Times New Roman"/>
                <w:sz w:val="26"/>
                <w:szCs w:val="26"/>
                <w:lang w:val="uk-UA" w:eastAsia="ru-RU"/>
              </w:rPr>
            </w:pPr>
          </w:p>
        </w:tc>
        <w:tc>
          <w:tcPr>
            <w:tcW w:w="1928" w:type="dxa"/>
            <w:hideMark/>
          </w:tcPr>
          <w:p w14:paraId="1DFA0FBB" w14:textId="77777777" w:rsidR="00850805" w:rsidRPr="00767D0D" w:rsidRDefault="00850805"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7</w:t>
            </w:r>
          </w:p>
        </w:tc>
      </w:tr>
      <w:tr w:rsidR="00850805" w:rsidRPr="00767D0D" w14:paraId="33AA8565" w14:textId="77777777" w:rsidTr="002D6D24">
        <w:trPr>
          <w:jc w:val="center"/>
        </w:trPr>
        <w:tc>
          <w:tcPr>
            <w:tcW w:w="988" w:type="dxa"/>
            <w:vMerge w:val="restart"/>
          </w:tcPr>
          <w:p w14:paraId="4114C28E" w14:textId="77777777" w:rsidR="00850805" w:rsidRPr="002D6D24" w:rsidRDefault="00850805"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6069B467" w14:textId="213E7B40"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Реабілітаційні установи для осіб з інвалідністю та дітей з інвалідністю для розміщення таких реабілітаційних установ:</w:t>
            </w:r>
          </w:p>
        </w:tc>
        <w:tc>
          <w:tcPr>
            <w:tcW w:w="1928" w:type="dxa"/>
            <w:hideMark/>
          </w:tcPr>
          <w:p w14:paraId="523AC529" w14:textId="77777777" w:rsidR="00850805" w:rsidRPr="00767D0D" w:rsidRDefault="00850805" w:rsidP="00D225D6">
            <w:pPr>
              <w:spacing w:after="0"/>
              <w:jc w:val="center"/>
              <w:rPr>
                <w:rFonts w:eastAsia="Times New Roman" w:cs="Times New Roman"/>
                <w:sz w:val="26"/>
                <w:szCs w:val="26"/>
                <w:lang w:val="uk-UA" w:eastAsia="ru-RU"/>
              </w:rPr>
            </w:pPr>
          </w:p>
        </w:tc>
      </w:tr>
      <w:tr w:rsidR="00850805" w:rsidRPr="00767D0D" w14:paraId="199DAE4B" w14:textId="77777777" w:rsidTr="002D6D24">
        <w:trPr>
          <w:jc w:val="center"/>
        </w:trPr>
        <w:tc>
          <w:tcPr>
            <w:tcW w:w="988" w:type="dxa"/>
            <w:vMerge/>
          </w:tcPr>
          <w:p w14:paraId="2EC1FADF" w14:textId="77777777" w:rsidR="00850805" w:rsidRPr="00767D0D" w:rsidRDefault="00850805" w:rsidP="000C5F2B">
            <w:pPr>
              <w:spacing w:after="0"/>
              <w:jc w:val="both"/>
              <w:rPr>
                <w:rFonts w:eastAsia="Times New Roman" w:cs="Times New Roman"/>
                <w:sz w:val="26"/>
                <w:szCs w:val="26"/>
                <w:lang w:val="uk-UA" w:eastAsia="ru-RU"/>
              </w:rPr>
            </w:pPr>
          </w:p>
        </w:tc>
        <w:tc>
          <w:tcPr>
            <w:tcW w:w="6712" w:type="dxa"/>
            <w:hideMark/>
          </w:tcPr>
          <w:p w14:paraId="2FCC42D1" w14:textId="54788638"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на площі не більш як 100 </w:t>
            </w:r>
            <w:proofErr w:type="spellStart"/>
            <w:r w:rsidRPr="00767D0D">
              <w:rPr>
                <w:rFonts w:eastAsia="Times New Roman" w:cs="Times New Roman"/>
                <w:sz w:val="26"/>
                <w:szCs w:val="26"/>
                <w:lang w:val="uk-UA" w:eastAsia="ru-RU"/>
              </w:rPr>
              <w:t>кв</w:t>
            </w:r>
            <w:proofErr w:type="spellEnd"/>
            <w:r w:rsidRPr="00767D0D">
              <w:rPr>
                <w:rFonts w:eastAsia="Times New Roman" w:cs="Times New Roman"/>
                <w:sz w:val="26"/>
                <w:szCs w:val="26"/>
                <w:lang w:val="uk-UA" w:eastAsia="ru-RU"/>
              </w:rPr>
              <w:t>. метрів</w:t>
            </w:r>
          </w:p>
        </w:tc>
        <w:tc>
          <w:tcPr>
            <w:tcW w:w="1928" w:type="dxa"/>
            <w:hideMark/>
          </w:tcPr>
          <w:p w14:paraId="4A2C1E92" w14:textId="77777777" w:rsidR="00850805" w:rsidRPr="00767D0D" w:rsidRDefault="00850805"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1</w:t>
            </w:r>
          </w:p>
        </w:tc>
      </w:tr>
      <w:tr w:rsidR="00850805" w:rsidRPr="00767D0D" w14:paraId="6FC03C4A" w14:textId="77777777" w:rsidTr="002D6D24">
        <w:trPr>
          <w:jc w:val="center"/>
        </w:trPr>
        <w:tc>
          <w:tcPr>
            <w:tcW w:w="988" w:type="dxa"/>
            <w:vMerge/>
          </w:tcPr>
          <w:p w14:paraId="476FC359" w14:textId="77777777" w:rsidR="00850805" w:rsidRPr="00767D0D" w:rsidRDefault="00850805" w:rsidP="000C5F2B">
            <w:pPr>
              <w:spacing w:after="0"/>
              <w:jc w:val="both"/>
              <w:rPr>
                <w:rFonts w:eastAsia="Times New Roman" w:cs="Times New Roman"/>
                <w:sz w:val="26"/>
                <w:szCs w:val="26"/>
                <w:lang w:val="uk-UA" w:eastAsia="ru-RU"/>
              </w:rPr>
            </w:pPr>
          </w:p>
        </w:tc>
        <w:tc>
          <w:tcPr>
            <w:tcW w:w="6712" w:type="dxa"/>
            <w:hideMark/>
          </w:tcPr>
          <w:p w14:paraId="204E9F29" w14:textId="62C1FF65" w:rsidR="00850805" w:rsidRPr="00767D0D" w:rsidRDefault="00850805"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на частині площі, що перевищує 100 </w:t>
            </w:r>
            <w:proofErr w:type="spellStart"/>
            <w:r w:rsidRPr="00767D0D">
              <w:rPr>
                <w:rFonts w:eastAsia="Times New Roman" w:cs="Times New Roman"/>
                <w:sz w:val="26"/>
                <w:szCs w:val="26"/>
                <w:lang w:val="uk-UA" w:eastAsia="ru-RU"/>
              </w:rPr>
              <w:t>кв</w:t>
            </w:r>
            <w:proofErr w:type="spellEnd"/>
            <w:r w:rsidRPr="00767D0D">
              <w:rPr>
                <w:rFonts w:eastAsia="Times New Roman" w:cs="Times New Roman"/>
                <w:sz w:val="26"/>
                <w:szCs w:val="26"/>
                <w:lang w:val="uk-UA" w:eastAsia="ru-RU"/>
              </w:rPr>
              <w:t>. метрів</w:t>
            </w:r>
          </w:p>
          <w:p w14:paraId="51343243" w14:textId="24DBFFFD" w:rsidR="00850805" w:rsidRPr="00767D0D" w:rsidRDefault="00850805" w:rsidP="000C5F2B">
            <w:pPr>
              <w:spacing w:after="0"/>
              <w:jc w:val="both"/>
              <w:rPr>
                <w:rFonts w:eastAsia="Times New Roman" w:cs="Times New Roman"/>
                <w:sz w:val="26"/>
                <w:szCs w:val="26"/>
                <w:lang w:val="uk-UA" w:eastAsia="ru-RU"/>
              </w:rPr>
            </w:pPr>
          </w:p>
        </w:tc>
        <w:tc>
          <w:tcPr>
            <w:tcW w:w="1928" w:type="dxa"/>
            <w:hideMark/>
          </w:tcPr>
          <w:p w14:paraId="5A7904F6" w14:textId="77777777" w:rsidR="00850805" w:rsidRPr="00767D0D" w:rsidRDefault="00850805"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7</w:t>
            </w:r>
          </w:p>
        </w:tc>
      </w:tr>
      <w:tr w:rsidR="002D6D24" w:rsidRPr="00767D0D" w14:paraId="2F5BA99C" w14:textId="77777777" w:rsidTr="002D6D24">
        <w:trPr>
          <w:jc w:val="center"/>
        </w:trPr>
        <w:tc>
          <w:tcPr>
            <w:tcW w:w="988" w:type="dxa"/>
          </w:tcPr>
          <w:p w14:paraId="6B31EE64"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hideMark/>
          </w:tcPr>
          <w:p w14:paraId="2E03C14A" w14:textId="2EDB75C9" w:rsidR="002D6D24" w:rsidRDefault="002D6D24" w:rsidP="00767D0D">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Релігійні організації для забезпечення проведення релігійних обрядів та церемоній, які на момент введення в дію </w:t>
            </w:r>
            <w:hyperlink r:id="rId10" w:tgtFrame="_blank" w:history="1">
              <w:r w:rsidRPr="00767D0D">
                <w:rPr>
                  <w:rFonts w:eastAsia="Times New Roman" w:cs="Times New Roman"/>
                  <w:sz w:val="26"/>
                  <w:szCs w:val="26"/>
                  <w:lang w:val="uk-UA" w:eastAsia="ru-RU"/>
                </w:rPr>
                <w:t>Закону України</w:t>
              </w:r>
            </w:hyperlink>
            <w:r w:rsidRPr="00767D0D">
              <w:rPr>
                <w:rFonts w:eastAsia="Times New Roman" w:cs="Times New Roman"/>
                <w:sz w:val="26"/>
                <w:szCs w:val="26"/>
                <w:lang w:val="uk-UA" w:eastAsia="ru-RU"/>
              </w:rPr>
              <w:t>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p w14:paraId="3CD5C471" w14:textId="52E4C91A" w:rsidR="002D6D24" w:rsidRPr="00767D0D" w:rsidRDefault="002D6D24" w:rsidP="00767D0D">
            <w:pPr>
              <w:spacing w:after="0"/>
              <w:jc w:val="both"/>
              <w:rPr>
                <w:rFonts w:eastAsia="Times New Roman" w:cs="Times New Roman"/>
                <w:sz w:val="26"/>
                <w:szCs w:val="26"/>
                <w:lang w:val="uk-UA" w:eastAsia="ru-RU"/>
              </w:rPr>
            </w:pPr>
          </w:p>
        </w:tc>
        <w:tc>
          <w:tcPr>
            <w:tcW w:w="1928" w:type="dxa"/>
            <w:hideMark/>
          </w:tcPr>
          <w:p w14:paraId="23E46162" w14:textId="77777777"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t>0,01</w:t>
            </w:r>
          </w:p>
          <w:p w14:paraId="31004A24" w14:textId="77777777" w:rsidR="002D6D24" w:rsidRPr="00767D0D" w:rsidRDefault="002D6D24" w:rsidP="00D225D6">
            <w:pPr>
              <w:spacing w:after="0"/>
              <w:jc w:val="center"/>
              <w:rPr>
                <w:rFonts w:eastAsia="Times New Roman" w:cs="Times New Roman"/>
                <w:sz w:val="26"/>
                <w:szCs w:val="26"/>
                <w:lang w:val="uk-UA" w:eastAsia="ru-RU"/>
              </w:rPr>
            </w:pPr>
          </w:p>
          <w:p w14:paraId="507FFD10" w14:textId="3CCE7B87" w:rsidR="002D6D24" w:rsidRDefault="002D6D24" w:rsidP="00D225D6">
            <w:pPr>
              <w:spacing w:after="0"/>
              <w:jc w:val="center"/>
              <w:rPr>
                <w:rFonts w:eastAsia="Times New Roman" w:cs="Times New Roman"/>
                <w:sz w:val="26"/>
                <w:szCs w:val="26"/>
                <w:lang w:val="uk-UA" w:eastAsia="ru-RU"/>
              </w:rPr>
            </w:pPr>
          </w:p>
          <w:p w14:paraId="5865C288" w14:textId="77777777" w:rsidR="002D6D24" w:rsidRPr="00767D0D" w:rsidRDefault="002D6D24" w:rsidP="00D225D6">
            <w:pPr>
              <w:spacing w:after="0"/>
              <w:jc w:val="center"/>
              <w:rPr>
                <w:rFonts w:eastAsia="Times New Roman" w:cs="Times New Roman"/>
                <w:sz w:val="26"/>
                <w:szCs w:val="26"/>
                <w:lang w:val="uk-UA" w:eastAsia="ru-RU"/>
              </w:rPr>
            </w:pPr>
          </w:p>
          <w:p w14:paraId="2B587D6C" w14:textId="77777777" w:rsidR="002D6D24" w:rsidRPr="00767D0D" w:rsidRDefault="002D6D24" w:rsidP="00D225D6">
            <w:pPr>
              <w:spacing w:after="0"/>
              <w:jc w:val="center"/>
              <w:rPr>
                <w:rFonts w:eastAsia="Times New Roman" w:cs="Times New Roman"/>
                <w:sz w:val="26"/>
                <w:szCs w:val="26"/>
                <w:lang w:val="uk-UA" w:eastAsia="ru-RU"/>
              </w:rPr>
            </w:pPr>
          </w:p>
          <w:p w14:paraId="6FDDE9B5" w14:textId="5161BBE6" w:rsidR="002D6D24" w:rsidRPr="00767D0D" w:rsidRDefault="002D6D24" w:rsidP="00D225D6">
            <w:pPr>
              <w:spacing w:after="0"/>
              <w:jc w:val="center"/>
              <w:rPr>
                <w:rFonts w:eastAsia="Times New Roman" w:cs="Times New Roman"/>
                <w:sz w:val="26"/>
                <w:szCs w:val="26"/>
                <w:lang w:val="uk-UA" w:eastAsia="ru-RU"/>
              </w:rPr>
            </w:pPr>
          </w:p>
        </w:tc>
      </w:tr>
      <w:tr w:rsidR="002D6D24" w:rsidRPr="00767D0D" w14:paraId="19F79BC1" w14:textId="77777777" w:rsidTr="002D6D24">
        <w:trPr>
          <w:jc w:val="center"/>
        </w:trPr>
        <w:tc>
          <w:tcPr>
            <w:tcW w:w="988" w:type="dxa"/>
          </w:tcPr>
          <w:p w14:paraId="30F76743" w14:textId="77777777" w:rsidR="002D6D24" w:rsidRPr="002D6D24" w:rsidRDefault="002D6D24" w:rsidP="002D6D24">
            <w:pPr>
              <w:pStyle w:val="a9"/>
              <w:numPr>
                <w:ilvl w:val="0"/>
                <w:numId w:val="2"/>
              </w:numPr>
              <w:spacing w:after="0"/>
              <w:jc w:val="both"/>
              <w:rPr>
                <w:rFonts w:eastAsia="Times New Roman" w:cs="Times New Roman"/>
                <w:sz w:val="26"/>
                <w:szCs w:val="26"/>
                <w:lang w:val="uk-UA" w:eastAsia="ru-RU"/>
              </w:rPr>
            </w:pPr>
          </w:p>
        </w:tc>
        <w:tc>
          <w:tcPr>
            <w:tcW w:w="6712" w:type="dxa"/>
          </w:tcPr>
          <w:p w14:paraId="23CF50AE" w14:textId="1B5A2ABC" w:rsidR="002D6D24" w:rsidRPr="00767D0D" w:rsidRDefault="002D6D24" w:rsidP="000C5F2B">
            <w:pPr>
              <w:spacing w:after="0"/>
              <w:jc w:val="both"/>
              <w:rPr>
                <w:rFonts w:eastAsia="Times New Roman" w:cs="Times New Roman"/>
                <w:sz w:val="26"/>
                <w:szCs w:val="26"/>
                <w:lang w:val="uk-UA" w:eastAsia="ru-RU"/>
              </w:rPr>
            </w:pPr>
            <w:r w:rsidRPr="00767D0D">
              <w:rPr>
                <w:rFonts w:eastAsia="Times New Roman" w:cs="Times New Roman"/>
                <w:sz w:val="26"/>
                <w:szCs w:val="26"/>
                <w:lang w:val="uk-UA" w:eastAsia="ru-RU"/>
              </w:rPr>
              <w:t xml:space="preserve">Громадські організації у сфері культури і мистецтв (у тому числі національні творчі спілки або їх члени під творчі майстерні), громадські об’єднання, організації, благодійні </w:t>
            </w:r>
            <w:r w:rsidRPr="00767D0D">
              <w:rPr>
                <w:rFonts w:eastAsia="Times New Roman" w:cs="Times New Roman"/>
                <w:sz w:val="26"/>
                <w:szCs w:val="26"/>
                <w:lang w:val="uk-UA" w:eastAsia="ru-RU"/>
              </w:rPr>
              <w:lastRenderedPageBreak/>
              <w:t>організації для тимчасового проживання внутрішньо переміщених осіб</w:t>
            </w:r>
          </w:p>
        </w:tc>
        <w:tc>
          <w:tcPr>
            <w:tcW w:w="1928" w:type="dxa"/>
          </w:tcPr>
          <w:p w14:paraId="6356F4BB" w14:textId="2D725A3F" w:rsidR="002D6D24" w:rsidRPr="00767D0D" w:rsidRDefault="002D6D24" w:rsidP="00D225D6">
            <w:pPr>
              <w:spacing w:after="0"/>
              <w:jc w:val="center"/>
              <w:rPr>
                <w:rFonts w:eastAsia="Times New Roman" w:cs="Times New Roman"/>
                <w:sz w:val="26"/>
                <w:szCs w:val="26"/>
                <w:lang w:val="uk-UA" w:eastAsia="ru-RU"/>
              </w:rPr>
            </w:pPr>
            <w:r w:rsidRPr="00767D0D">
              <w:rPr>
                <w:rFonts w:eastAsia="Times New Roman" w:cs="Times New Roman"/>
                <w:sz w:val="26"/>
                <w:szCs w:val="26"/>
                <w:lang w:val="uk-UA" w:eastAsia="ru-RU"/>
              </w:rPr>
              <w:lastRenderedPageBreak/>
              <w:t>3</w:t>
            </w:r>
          </w:p>
        </w:tc>
      </w:tr>
    </w:tbl>
    <w:p w14:paraId="6A868C07" w14:textId="2BCA2961" w:rsidR="00D225D6" w:rsidRDefault="00D225D6" w:rsidP="00D225D6">
      <w:pPr>
        <w:spacing w:after="0"/>
        <w:rPr>
          <w:rFonts w:eastAsia="Times New Roman" w:cs="Times New Roman"/>
          <w:sz w:val="26"/>
          <w:szCs w:val="26"/>
          <w:lang w:val="uk-UA" w:eastAsia="ru-RU"/>
        </w:rPr>
      </w:pPr>
      <w:bookmarkStart w:id="3" w:name="n248"/>
      <w:bookmarkEnd w:id="3"/>
    </w:p>
    <w:p w14:paraId="6E0C7684" w14:textId="77777777" w:rsidR="00850805" w:rsidRDefault="00850805" w:rsidP="00D225D6">
      <w:pPr>
        <w:spacing w:after="0"/>
        <w:rPr>
          <w:rFonts w:eastAsia="Times New Roman" w:cs="Times New Roman"/>
          <w:sz w:val="26"/>
          <w:szCs w:val="26"/>
          <w:lang w:val="uk-UA" w:eastAsia="ru-RU"/>
        </w:rPr>
      </w:pPr>
    </w:p>
    <w:p w14:paraId="78AEDCFB" w14:textId="77777777" w:rsidR="00850805" w:rsidRDefault="00850805" w:rsidP="00D225D6">
      <w:pPr>
        <w:spacing w:after="0"/>
        <w:rPr>
          <w:rFonts w:eastAsia="Times New Roman" w:cs="Times New Roman"/>
          <w:sz w:val="26"/>
          <w:szCs w:val="26"/>
          <w:lang w:val="uk-UA" w:eastAsia="ru-RU"/>
        </w:rPr>
      </w:pPr>
    </w:p>
    <w:p w14:paraId="7E13263E" w14:textId="77777777" w:rsidR="00850805" w:rsidRDefault="00850805" w:rsidP="00850805">
      <w:pPr>
        <w:spacing w:after="0"/>
        <w:jc w:val="center"/>
        <w:rPr>
          <w:rFonts w:eastAsia="Times New Roman" w:cs="Times New Roman"/>
          <w:sz w:val="26"/>
          <w:szCs w:val="26"/>
          <w:lang w:val="uk-UA" w:eastAsia="ru-RU"/>
        </w:rPr>
      </w:pPr>
    </w:p>
    <w:p w14:paraId="3A2C5690" w14:textId="153DD652" w:rsidR="00850805" w:rsidRPr="00767D0D" w:rsidRDefault="00850805" w:rsidP="00850805">
      <w:pPr>
        <w:spacing w:after="0"/>
        <w:jc w:val="center"/>
        <w:rPr>
          <w:rFonts w:eastAsia="Times New Roman" w:cs="Times New Roman"/>
          <w:sz w:val="26"/>
          <w:szCs w:val="26"/>
          <w:lang w:val="uk-UA" w:eastAsia="ru-RU"/>
        </w:rPr>
      </w:pPr>
      <w:r>
        <w:rPr>
          <w:rFonts w:eastAsia="Times New Roman" w:cs="Times New Roman"/>
          <w:sz w:val="26"/>
          <w:szCs w:val="26"/>
          <w:lang w:val="uk-UA" w:eastAsia="ru-RU"/>
        </w:rPr>
        <w:t>_________________________</w:t>
      </w:r>
    </w:p>
    <w:sectPr w:rsidR="00850805" w:rsidRPr="00767D0D" w:rsidSect="007B0E23">
      <w:headerReference w:type="default" r:id="rId11"/>
      <w:footerReference w:type="default" r:id="rId12"/>
      <w:headerReference w:type="first" r:id="rId13"/>
      <w:pgSz w:w="11906" w:h="16838" w:code="9"/>
      <w:pgMar w:top="284"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4923" w14:textId="77777777" w:rsidR="006E6DF2" w:rsidRDefault="006E6DF2" w:rsidP="00D93BBC">
      <w:pPr>
        <w:spacing w:after="0"/>
      </w:pPr>
      <w:r>
        <w:separator/>
      </w:r>
    </w:p>
  </w:endnote>
  <w:endnote w:type="continuationSeparator" w:id="0">
    <w:p w14:paraId="0DB90FA3" w14:textId="77777777" w:rsidR="006E6DF2" w:rsidRDefault="006E6DF2" w:rsidP="00D93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DCF2" w14:textId="4D400D2C" w:rsidR="00D93BBC" w:rsidRDefault="00D93BBC" w:rsidP="00AD3FFD">
    <w:pPr>
      <w:pStyle w:val="a7"/>
    </w:pPr>
  </w:p>
  <w:p w14:paraId="68C45D09" w14:textId="77777777" w:rsidR="00D93BBC" w:rsidRDefault="00D93B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011C" w14:textId="77777777" w:rsidR="006E6DF2" w:rsidRDefault="006E6DF2" w:rsidP="00D93BBC">
      <w:pPr>
        <w:spacing w:after="0"/>
      </w:pPr>
      <w:r>
        <w:separator/>
      </w:r>
    </w:p>
  </w:footnote>
  <w:footnote w:type="continuationSeparator" w:id="0">
    <w:p w14:paraId="2985F8C4" w14:textId="77777777" w:rsidR="006E6DF2" w:rsidRDefault="006E6DF2" w:rsidP="00D93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13765"/>
      <w:docPartObj>
        <w:docPartGallery w:val="Page Numbers (Top of Page)"/>
        <w:docPartUnique/>
      </w:docPartObj>
    </w:sdtPr>
    <w:sdtContent>
      <w:p w14:paraId="19DA6167" w14:textId="20E47E35" w:rsidR="005C7879" w:rsidRDefault="005C7879">
        <w:pPr>
          <w:pStyle w:val="a5"/>
          <w:jc w:val="center"/>
        </w:pPr>
        <w:r>
          <w:fldChar w:fldCharType="begin"/>
        </w:r>
        <w:r>
          <w:instrText>PAGE   \* MERGEFORMAT</w:instrText>
        </w:r>
        <w:r>
          <w:fldChar w:fldCharType="separate"/>
        </w:r>
        <w:r>
          <w:rPr>
            <w:lang w:val="uk-UA"/>
          </w:rPr>
          <w:t>2</w:t>
        </w:r>
        <w:r>
          <w:fldChar w:fldCharType="end"/>
        </w:r>
      </w:p>
    </w:sdtContent>
  </w:sdt>
  <w:p w14:paraId="10784C2F" w14:textId="77777777" w:rsidR="005C7879" w:rsidRDefault="005C78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D726" w14:textId="10B7BA0E" w:rsidR="00AD3FFD" w:rsidRDefault="00AD3FFD">
    <w:pPr>
      <w:pStyle w:val="a5"/>
      <w:jc w:val="center"/>
    </w:pPr>
  </w:p>
  <w:p w14:paraId="3FEA7BD0" w14:textId="77777777" w:rsidR="00AD3FFD" w:rsidRDefault="00AD3F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bullet="t" o:hrstd="t" o:hrnoshade="t" o:hr="t" fillcolor="black" stroked="f"/>
    </w:pict>
  </w:numPicBullet>
  <w:abstractNum w:abstractNumId="0" w15:restartNumberingAfterBreak="0">
    <w:nsid w:val="25D809E2"/>
    <w:multiLevelType w:val="hybridMultilevel"/>
    <w:tmpl w:val="645C91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82701F"/>
    <w:multiLevelType w:val="hybridMultilevel"/>
    <w:tmpl w:val="6100BA40"/>
    <w:lvl w:ilvl="0" w:tplc="D8C6B94E">
      <w:start w:val="1"/>
      <w:numFmt w:val="bullet"/>
      <w:lvlText w:val=""/>
      <w:lvlPicBulletId w:val="0"/>
      <w:lvlJc w:val="left"/>
      <w:pPr>
        <w:tabs>
          <w:tab w:val="num" w:pos="720"/>
        </w:tabs>
        <w:ind w:left="720" w:hanging="360"/>
      </w:pPr>
      <w:rPr>
        <w:rFonts w:ascii="Symbol" w:hAnsi="Symbol" w:hint="default"/>
      </w:rPr>
    </w:lvl>
    <w:lvl w:ilvl="1" w:tplc="9BF6AC0A" w:tentative="1">
      <w:start w:val="1"/>
      <w:numFmt w:val="bullet"/>
      <w:lvlText w:val=""/>
      <w:lvlJc w:val="left"/>
      <w:pPr>
        <w:tabs>
          <w:tab w:val="num" w:pos="1440"/>
        </w:tabs>
        <w:ind w:left="1440" w:hanging="360"/>
      </w:pPr>
      <w:rPr>
        <w:rFonts w:ascii="Symbol" w:hAnsi="Symbol" w:hint="default"/>
      </w:rPr>
    </w:lvl>
    <w:lvl w:ilvl="2" w:tplc="739E0ED4" w:tentative="1">
      <w:start w:val="1"/>
      <w:numFmt w:val="bullet"/>
      <w:lvlText w:val=""/>
      <w:lvlJc w:val="left"/>
      <w:pPr>
        <w:tabs>
          <w:tab w:val="num" w:pos="2160"/>
        </w:tabs>
        <w:ind w:left="2160" w:hanging="360"/>
      </w:pPr>
      <w:rPr>
        <w:rFonts w:ascii="Symbol" w:hAnsi="Symbol" w:hint="default"/>
      </w:rPr>
    </w:lvl>
    <w:lvl w:ilvl="3" w:tplc="60B2200A" w:tentative="1">
      <w:start w:val="1"/>
      <w:numFmt w:val="bullet"/>
      <w:lvlText w:val=""/>
      <w:lvlJc w:val="left"/>
      <w:pPr>
        <w:tabs>
          <w:tab w:val="num" w:pos="2880"/>
        </w:tabs>
        <w:ind w:left="2880" w:hanging="360"/>
      </w:pPr>
      <w:rPr>
        <w:rFonts w:ascii="Symbol" w:hAnsi="Symbol" w:hint="default"/>
      </w:rPr>
    </w:lvl>
    <w:lvl w:ilvl="4" w:tplc="6AEEA3FE" w:tentative="1">
      <w:start w:val="1"/>
      <w:numFmt w:val="bullet"/>
      <w:lvlText w:val=""/>
      <w:lvlJc w:val="left"/>
      <w:pPr>
        <w:tabs>
          <w:tab w:val="num" w:pos="3600"/>
        </w:tabs>
        <w:ind w:left="3600" w:hanging="360"/>
      </w:pPr>
      <w:rPr>
        <w:rFonts w:ascii="Symbol" w:hAnsi="Symbol" w:hint="default"/>
      </w:rPr>
    </w:lvl>
    <w:lvl w:ilvl="5" w:tplc="CB484762" w:tentative="1">
      <w:start w:val="1"/>
      <w:numFmt w:val="bullet"/>
      <w:lvlText w:val=""/>
      <w:lvlJc w:val="left"/>
      <w:pPr>
        <w:tabs>
          <w:tab w:val="num" w:pos="4320"/>
        </w:tabs>
        <w:ind w:left="4320" w:hanging="360"/>
      </w:pPr>
      <w:rPr>
        <w:rFonts w:ascii="Symbol" w:hAnsi="Symbol" w:hint="default"/>
      </w:rPr>
    </w:lvl>
    <w:lvl w:ilvl="6" w:tplc="0ADE53C4" w:tentative="1">
      <w:start w:val="1"/>
      <w:numFmt w:val="bullet"/>
      <w:lvlText w:val=""/>
      <w:lvlJc w:val="left"/>
      <w:pPr>
        <w:tabs>
          <w:tab w:val="num" w:pos="5040"/>
        </w:tabs>
        <w:ind w:left="5040" w:hanging="360"/>
      </w:pPr>
      <w:rPr>
        <w:rFonts w:ascii="Symbol" w:hAnsi="Symbol" w:hint="default"/>
      </w:rPr>
    </w:lvl>
    <w:lvl w:ilvl="7" w:tplc="EF2E6B30" w:tentative="1">
      <w:start w:val="1"/>
      <w:numFmt w:val="bullet"/>
      <w:lvlText w:val=""/>
      <w:lvlJc w:val="left"/>
      <w:pPr>
        <w:tabs>
          <w:tab w:val="num" w:pos="5760"/>
        </w:tabs>
        <w:ind w:left="5760" w:hanging="360"/>
      </w:pPr>
      <w:rPr>
        <w:rFonts w:ascii="Symbol" w:hAnsi="Symbol" w:hint="default"/>
      </w:rPr>
    </w:lvl>
    <w:lvl w:ilvl="8" w:tplc="88965088" w:tentative="1">
      <w:start w:val="1"/>
      <w:numFmt w:val="bullet"/>
      <w:lvlText w:val=""/>
      <w:lvlJc w:val="left"/>
      <w:pPr>
        <w:tabs>
          <w:tab w:val="num" w:pos="6480"/>
        </w:tabs>
        <w:ind w:left="6480" w:hanging="360"/>
      </w:pPr>
      <w:rPr>
        <w:rFonts w:ascii="Symbol" w:hAnsi="Symbol" w:hint="default"/>
      </w:rPr>
    </w:lvl>
  </w:abstractNum>
  <w:num w:numId="1" w16cid:durableId="737753189">
    <w:abstractNumId w:val="1"/>
  </w:num>
  <w:num w:numId="2" w16cid:durableId="116327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D6"/>
    <w:rsid w:val="000278E6"/>
    <w:rsid w:val="000418D4"/>
    <w:rsid w:val="000801F7"/>
    <w:rsid w:val="00084575"/>
    <w:rsid w:val="00094E34"/>
    <w:rsid w:val="000B2C9E"/>
    <w:rsid w:val="000C2EBC"/>
    <w:rsid w:val="000C5F2B"/>
    <w:rsid w:val="000D629C"/>
    <w:rsid w:val="000E629F"/>
    <w:rsid w:val="0010352B"/>
    <w:rsid w:val="00107C95"/>
    <w:rsid w:val="001168F3"/>
    <w:rsid w:val="00122C5C"/>
    <w:rsid w:val="001335F7"/>
    <w:rsid w:val="00135155"/>
    <w:rsid w:val="00185B27"/>
    <w:rsid w:val="00185F18"/>
    <w:rsid w:val="001976D4"/>
    <w:rsid w:val="001A5BBF"/>
    <w:rsid w:val="002126D9"/>
    <w:rsid w:val="0021592B"/>
    <w:rsid w:val="002230B8"/>
    <w:rsid w:val="00225F1F"/>
    <w:rsid w:val="002342CC"/>
    <w:rsid w:val="00264731"/>
    <w:rsid w:val="00276595"/>
    <w:rsid w:val="00291B33"/>
    <w:rsid w:val="00294B06"/>
    <w:rsid w:val="0029784E"/>
    <w:rsid w:val="002A0CA7"/>
    <w:rsid w:val="002A22F0"/>
    <w:rsid w:val="002B77C2"/>
    <w:rsid w:val="002B7D4D"/>
    <w:rsid w:val="002D6D24"/>
    <w:rsid w:val="0030644F"/>
    <w:rsid w:val="003104D6"/>
    <w:rsid w:val="00313EB7"/>
    <w:rsid w:val="00323F46"/>
    <w:rsid w:val="00327558"/>
    <w:rsid w:val="00332C71"/>
    <w:rsid w:val="003473CD"/>
    <w:rsid w:val="00353336"/>
    <w:rsid w:val="00354580"/>
    <w:rsid w:val="00355D77"/>
    <w:rsid w:val="00390E15"/>
    <w:rsid w:val="0039177A"/>
    <w:rsid w:val="0039794C"/>
    <w:rsid w:val="003A3EDB"/>
    <w:rsid w:val="003C22F3"/>
    <w:rsid w:val="003C4BB4"/>
    <w:rsid w:val="003C5C19"/>
    <w:rsid w:val="003D6D28"/>
    <w:rsid w:val="003E6CD1"/>
    <w:rsid w:val="003F5116"/>
    <w:rsid w:val="00403877"/>
    <w:rsid w:val="00407DDB"/>
    <w:rsid w:val="00426B77"/>
    <w:rsid w:val="00457C94"/>
    <w:rsid w:val="00473959"/>
    <w:rsid w:val="00480B4E"/>
    <w:rsid w:val="004B026E"/>
    <w:rsid w:val="004D1A75"/>
    <w:rsid w:val="00506CC5"/>
    <w:rsid w:val="00517512"/>
    <w:rsid w:val="00567EEF"/>
    <w:rsid w:val="00581ACE"/>
    <w:rsid w:val="005876EC"/>
    <w:rsid w:val="005A185B"/>
    <w:rsid w:val="005C01EE"/>
    <w:rsid w:val="005C7879"/>
    <w:rsid w:val="0063551B"/>
    <w:rsid w:val="006500FA"/>
    <w:rsid w:val="006567DD"/>
    <w:rsid w:val="00657190"/>
    <w:rsid w:val="006A6A17"/>
    <w:rsid w:val="006C0B77"/>
    <w:rsid w:val="006C7E7A"/>
    <w:rsid w:val="006E18F1"/>
    <w:rsid w:val="006E1B32"/>
    <w:rsid w:val="006E6DF2"/>
    <w:rsid w:val="006F4911"/>
    <w:rsid w:val="0072359C"/>
    <w:rsid w:val="007339C0"/>
    <w:rsid w:val="007521DC"/>
    <w:rsid w:val="00753F23"/>
    <w:rsid w:val="007570C4"/>
    <w:rsid w:val="00767D0D"/>
    <w:rsid w:val="007B0E23"/>
    <w:rsid w:val="007B6627"/>
    <w:rsid w:val="007B670D"/>
    <w:rsid w:val="007C0AB6"/>
    <w:rsid w:val="007D43C4"/>
    <w:rsid w:val="00815EDB"/>
    <w:rsid w:val="00817184"/>
    <w:rsid w:val="0081734E"/>
    <w:rsid w:val="00820ED1"/>
    <w:rsid w:val="008242FF"/>
    <w:rsid w:val="00850805"/>
    <w:rsid w:val="0086191B"/>
    <w:rsid w:val="00865701"/>
    <w:rsid w:val="00870751"/>
    <w:rsid w:val="0087111A"/>
    <w:rsid w:val="0088143D"/>
    <w:rsid w:val="008B4D6C"/>
    <w:rsid w:val="008F4D93"/>
    <w:rsid w:val="00900E1B"/>
    <w:rsid w:val="00922C48"/>
    <w:rsid w:val="00941047"/>
    <w:rsid w:val="009840B3"/>
    <w:rsid w:val="009870BF"/>
    <w:rsid w:val="00997469"/>
    <w:rsid w:val="009A3B59"/>
    <w:rsid w:val="009B1666"/>
    <w:rsid w:val="009B3DBB"/>
    <w:rsid w:val="00A15EAC"/>
    <w:rsid w:val="00A523CE"/>
    <w:rsid w:val="00A52DE7"/>
    <w:rsid w:val="00A53E34"/>
    <w:rsid w:val="00A87418"/>
    <w:rsid w:val="00AB10CA"/>
    <w:rsid w:val="00AC5D66"/>
    <w:rsid w:val="00AD3FFD"/>
    <w:rsid w:val="00AE6C1B"/>
    <w:rsid w:val="00AF3B2A"/>
    <w:rsid w:val="00AF73B5"/>
    <w:rsid w:val="00B00D9F"/>
    <w:rsid w:val="00B02403"/>
    <w:rsid w:val="00B13BB0"/>
    <w:rsid w:val="00B16E41"/>
    <w:rsid w:val="00B2213A"/>
    <w:rsid w:val="00B4022F"/>
    <w:rsid w:val="00B53769"/>
    <w:rsid w:val="00B66FB6"/>
    <w:rsid w:val="00B70C91"/>
    <w:rsid w:val="00B91014"/>
    <w:rsid w:val="00B915B7"/>
    <w:rsid w:val="00B92264"/>
    <w:rsid w:val="00BA06B2"/>
    <w:rsid w:val="00BB21B0"/>
    <w:rsid w:val="00BB6758"/>
    <w:rsid w:val="00BB7624"/>
    <w:rsid w:val="00BC4DE5"/>
    <w:rsid w:val="00BE4085"/>
    <w:rsid w:val="00BF0BF1"/>
    <w:rsid w:val="00BF784A"/>
    <w:rsid w:val="00C05C78"/>
    <w:rsid w:val="00C21BD7"/>
    <w:rsid w:val="00C45075"/>
    <w:rsid w:val="00C50258"/>
    <w:rsid w:val="00C927D1"/>
    <w:rsid w:val="00CA4335"/>
    <w:rsid w:val="00CC2765"/>
    <w:rsid w:val="00CE2345"/>
    <w:rsid w:val="00D0399F"/>
    <w:rsid w:val="00D1042F"/>
    <w:rsid w:val="00D21711"/>
    <w:rsid w:val="00D225D6"/>
    <w:rsid w:val="00D3230F"/>
    <w:rsid w:val="00D46028"/>
    <w:rsid w:val="00D5100E"/>
    <w:rsid w:val="00D614A8"/>
    <w:rsid w:val="00D82466"/>
    <w:rsid w:val="00D93BBC"/>
    <w:rsid w:val="00DC7E27"/>
    <w:rsid w:val="00DE27AC"/>
    <w:rsid w:val="00DE58AA"/>
    <w:rsid w:val="00DF27B8"/>
    <w:rsid w:val="00E003B8"/>
    <w:rsid w:val="00E0463E"/>
    <w:rsid w:val="00E118F7"/>
    <w:rsid w:val="00E22B78"/>
    <w:rsid w:val="00E65649"/>
    <w:rsid w:val="00E70D45"/>
    <w:rsid w:val="00E85FF4"/>
    <w:rsid w:val="00EA1E3B"/>
    <w:rsid w:val="00EA3BC3"/>
    <w:rsid w:val="00EA59DF"/>
    <w:rsid w:val="00EB19FF"/>
    <w:rsid w:val="00EC47FE"/>
    <w:rsid w:val="00EC79FB"/>
    <w:rsid w:val="00ED38F0"/>
    <w:rsid w:val="00EE4070"/>
    <w:rsid w:val="00EE425D"/>
    <w:rsid w:val="00EF519D"/>
    <w:rsid w:val="00F12C76"/>
    <w:rsid w:val="00F17796"/>
    <w:rsid w:val="00F341E7"/>
    <w:rsid w:val="00F36184"/>
    <w:rsid w:val="00F50C89"/>
    <w:rsid w:val="00F50ED9"/>
    <w:rsid w:val="00F51F49"/>
    <w:rsid w:val="00F64DA1"/>
    <w:rsid w:val="00F93121"/>
    <w:rsid w:val="00F9461C"/>
    <w:rsid w:val="00FA5FF6"/>
    <w:rsid w:val="00FC6426"/>
    <w:rsid w:val="00FD5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C3F0"/>
  <w15:chartTrackingRefBased/>
  <w15:docId w15:val="{F372DFAF-BF51-40C0-AF0B-A84BB9C0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3959"/>
    <w:rPr>
      <w:color w:val="0563C1" w:themeColor="hyperlink"/>
      <w:u w:val="single"/>
    </w:rPr>
  </w:style>
  <w:style w:type="character" w:styleId="a4">
    <w:name w:val="Unresolved Mention"/>
    <w:basedOn w:val="a0"/>
    <w:uiPriority w:val="99"/>
    <w:semiHidden/>
    <w:unhideWhenUsed/>
    <w:rsid w:val="00473959"/>
    <w:rPr>
      <w:color w:val="605E5C"/>
      <w:shd w:val="clear" w:color="auto" w:fill="E1DFDD"/>
    </w:rPr>
  </w:style>
  <w:style w:type="paragraph" w:styleId="a5">
    <w:name w:val="header"/>
    <w:basedOn w:val="a"/>
    <w:link w:val="a6"/>
    <w:uiPriority w:val="99"/>
    <w:unhideWhenUsed/>
    <w:rsid w:val="00D93BBC"/>
    <w:pPr>
      <w:tabs>
        <w:tab w:val="center" w:pos="4819"/>
        <w:tab w:val="right" w:pos="9639"/>
      </w:tabs>
      <w:spacing w:after="0"/>
    </w:pPr>
  </w:style>
  <w:style w:type="character" w:customStyle="1" w:styleId="a6">
    <w:name w:val="Верхній колонтитул Знак"/>
    <w:basedOn w:val="a0"/>
    <w:link w:val="a5"/>
    <w:uiPriority w:val="99"/>
    <w:rsid w:val="00D93BBC"/>
    <w:rPr>
      <w:rFonts w:ascii="Times New Roman" w:hAnsi="Times New Roman"/>
      <w:sz w:val="28"/>
    </w:rPr>
  </w:style>
  <w:style w:type="paragraph" w:styleId="a7">
    <w:name w:val="footer"/>
    <w:basedOn w:val="a"/>
    <w:link w:val="a8"/>
    <w:uiPriority w:val="99"/>
    <w:unhideWhenUsed/>
    <w:rsid w:val="00D93BBC"/>
    <w:pPr>
      <w:tabs>
        <w:tab w:val="center" w:pos="4819"/>
        <w:tab w:val="right" w:pos="9639"/>
      </w:tabs>
      <w:spacing w:after="0"/>
    </w:pPr>
  </w:style>
  <w:style w:type="character" w:customStyle="1" w:styleId="a8">
    <w:name w:val="Нижній колонтитул Знак"/>
    <w:basedOn w:val="a0"/>
    <w:link w:val="a7"/>
    <w:uiPriority w:val="99"/>
    <w:rsid w:val="00D93BBC"/>
    <w:rPr>
      <w:rFonts w:ascii="Times New Roman" w:hAnsi="Times New Roman"/>
      <w:sz w:val="28"/>
    </w:rPr>
  </w:style>
  <w:style w:type="paragraph" w:styleId="a9">
    <w:name w:val="List Paragraph"/>
    <w:basedOn w:val="a"/>
    <w:uiPriority w:val="34"/>
    <w:qFormat/>
    <w:rsid w:val="00D93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08485">
      <w:bodyDiv w:val="1"/>
      <w:marLeft w:val="0"/>
      <w:marRight w:val="0"/>
      <w:marTop w:val="0"/>
      <w:marBottom w:val="0"/>
      <w:divBdr>
        <w:top w:val="none" w:sz="0" w:space="0" w:color="auto"/>
        <w:left w:val="none" w:sz="0" w:space="0" w:color="auto"/>
        <w:bottom w:val="none" w:sz="0" w:space="0" w:color="auto"/>
        <w:right w:val="none" w:sz="0" w:space="0" w:color="auto"/>
      </w:divBdr>
    </w:div>
    <w:div w:id="977997196">
      <w:bodyDiv w:val="1"/>
      <w:marLeft w:val="0"/>
      <w:marRight w:val="0"/>
      <w:marTop w:val="0"/>
      <w:marBottom w:val="0"/>
      <w:divBdr>
        <w:top w:val="none" w:sz="0" w:space="0" w:color="auto"/>
        <w:left w:val="none" w:sz="0" w:space="0" w:color="auto"/>
        <w:bottom w:val="none" w:sz="0" w:space="0" w:color="auto"/>
        <w:right w:val="none" w:sz="0" w:space="0" w:color="auto"/>
      </w:divBdr>
      <w:divsChild>
        <w:div w:id="612326488">
          <w:marLeft w:val="0"/>
          <w:marRight w:val="0"/>
          <w:marTop w:val="0"/>
          <w:marBottom w:val="150"/>
          <w:divBdr>
            <w:top w:val="none" w:sz="0" w:space="0" w:color="auto"/>
            <w:left w:val="none" w:sz="0" w:space="0" w:color="auto"/>
            <w:bottom w:val="none" w:sz="0" w:space="0" w:color="auto"/>
            <w:right w:val="none" w:sz="0" w:space="0" w:color="auto"/>
          </w:divBdr>
        </w:div>
        <w:div w:id="1619951057">
          <w:marLeft w:val="0"/>
          <w:marRight w:val="0"/>
          <w:marTop w:val="0"/>
          <w:marBottom w:val="150"/>
          <w:divBdr>
            <w:top w:val="none" w:sz="0" w:space="0" w:color="auto"/>
            <w:left w:val="none" w:sz="0" w:space="0" w:color="auto"/>
            <w:bottom w:val="none" w:sz="0" w:space="0" w:color="auto"/>
            <w:right w:val="none" w:sz="0" w:space="0" w:color="auto"/>
          </w:divBdr>
        </w:div>
        <w:div w:id="373889503">
          <w:marLeft w:val="0"/>
          <w:marRight w:val="0"/>
          <w:marTop w:val="150"/>
          <w:marBottom w:val="150"/>
          <w:divBdr>
            <w:top w:val="none" w:sz="0" w:space="0" w:color="auto"/>
            <w:left w:val="none" w:sz="0" w:space="0" w:color="auto"/>
            <w:bottom w:val="none" w:sz="0" w:space="0" w:color="auto"/>
            <w:right w:val="none" w:sz="0" w:space="0" w:color="auto"/>
          </w:divBdr>
        </w:div>
        <w:div w:id="1071730101">
          <w:marLeft w:val="0"/>
          <w:marRight w:val="0"/>
          <w:marTop w:val="150"/>
          <w:marBottom w:val="150"/>
          <w:divBdr>
            <w:top w:val="none" w:sz="0" w:space="0" w:color="auto"/>
            <w:left w:val="none" w:sz="0" w:space="0" w:color="auto"/>
            <w:bottom w:val="none" w:sz="0" w:space="0" w:color="auto"/>
            <w:right w:val="none" w:sz="0" w:space="0" w:color="auto"/>
          </w:divBdr>
        </w:div>
        <w:div w:id="1906140071">
          <w:marLeft w:val="0"/>
          <w:marRight w:val="0"/>
          <w:marTop w:val="150"/>
          <w:marBottom w:val="150"/>
          <w:divBdr>
            <w:top w:val="none" w:sz="0" w:space="0" w:color="auto"/>
            <w:left w:val="none" w:sz="0" w:space="0" w:color="auto"/>
            <w:bottom w:val="none" w:sz="0" w:space="0" w:color="auto"/>
            <w:right w:val="none" w:sz="0" w:space="0" w:color="auto"/>
          </w:divBdr>
        </w:div>
        <w:div w:id="1021979574">
          <w:marLeft w:val="0"/>
          <w:marRight w:val="0"/>
          <w:marTop w:val="150"/>
          <w:marBottom w:val="150"/>
          <w:divBdr>
            <w:top w:val="none" w:sz="0" w:space="0" w:color="auto"/>
            <w:left w:val="none" w:sz="0" w:space="0" w:color="auto"/>
            <w:bottom w:val="none" w:sz="0" w:space="0" w:color="auto"/>
            <w:right w:val="none" w:sz="0" w:space="0" w:color="auto"/>
          </w:divBdr>
        </w:div>
        <w:div w:id="993726002">
          <w:marLeft w:val="0"/>
          <w:marRight w:val="0"/>
          <w:marTop w:val="150"/>
          <w:marBottom w:val="150"/>
          <w:divBdr>
            <w:top w:val="none" w:sz="0" w:space="0" w:color="auto"/>
            <w:left w:val="none" w:sz="0" w:space="0" w:color="auto"/>
            <w:bottom w:val="none" w:sz="0" w:space="0" w:color="auto"/>
            <w:right w:val="none" w:sz="0" w:space="0" w:color="auto"/>
          </w:divBdr>
        </w:div>
        <w:div w:id="2098743828">
          <w:marLeft w:val="0"/>
          <w:marRight w:val="0"/>
          <w:marTop w:val="150"/>
          <w:marBottom w:val="150"/>
          <w:divBdr>
            <w:top w:val="none" w:sz="0" w:space="0" w:color="auto"/>
            <w:left w:val="none" w:sz="0" w:space="0" w:color="auto"/>
            <w:bottom w:val="none" w:sz="0" w:space="0" w:color="auto"/>
            <w:right w:val="none" w:sz="0" w:space="0" w:color="auto"/>
          </w:divBdr>
        </w:div>
        <w:div w:id="1590039411">
          <w:marLeft w:val="0"/>
          <w:marRight w:val="0"/>
          <w:marTop w:val="0"/>
          <w:marBottom w:val="150"/>
          <w:divBdr>
            <w:top w:val="none" w:sz="0" w:space="0" w:color="auto"/>
            <w:left w:val="none" w:sz="0" w:space="0" w:color="auto"/>
            <w:bottom w:val="none" w:sz="0" w:space="0" w:color="auto"/>
            <w:right w:val="none" w:sz="0" w:space="0" w:color="auto"/>
          </w:divBdr>
        </w:div>
        <w:div w:id="1159151399">
          <w:marLeft w:val="0"/>
          <w:marRight w:val="0"/>
          <w:marTop w:val="150"/>
          <w:marBottom w:val="150"/>
          <w:divBdr>
            <w:top w:val="none" w:sz="0" w:space="0" w:color="auto"/>
            <w:left w:val="none" w:sz="0" w:space="0" w:color="auto"/>
            <w:bottom w:val="none" w:sz="0" w:space="0" w:color="auto"/>
            <w:right w:val="none" w:sz="0" w:space="0" w:color="auto"/>
          </w:divBdr>
        </w:div>
        <w:div w:id="149639340">
          <w:marLeft w:val="0"/>
          <w:marRight w:val="0"/>
          <w:marTop w:val="0"/>
          <w:marBottom w:val="150"/>
          <w:divBdr>
            <w:top w:val="none" w:sz="0" w:space="0" w:color="auto"/>
            <w:left w:val="none" w:sz="0" w:space="0" w:color="auto"/>
            <w:bottom w:val="none" w:sz="0" w:space="0" w:color="auto"/>
            <w:right w:val="none" w:sz="0" w:space="0" w:color="auto"/>
          </w:divBdr>
        </w:div>
        <w:div w:id="458111108">
          <w:marLeft w:val="0"/>
          <w:marRight w:val="0"/>
          <w:marTop w:val="150"/>
          <w:marBottom w:val="150"/>
          <w:divBdr>
            <w:top w:val="none" w:sz="0" w:space="0" w:color="auto"/>
            <w:left w:val="none" w:sz="0" w:space="0" w:color="auto"/>
            <w:bottom w:val="none" w:sz="0" w:space="0" w:color="auto"/>
            <w:right w:val="none" w:sz="0" w:space="0" w:color="auto"/>
          </w:divBdr>
        </w:div>
        <w:div w:id="314073271">
          <w:marLeft w:val="0"/>
          <w:marRight w:val="0"/>
          <w:marTop w:val="0"/>
          <w:marBottom w:val="150"/>
          <w:divBdr>
            <w:top w:val="none" w:sz="0" w:space="0" w:color="auto"/>
            <w:left w:val="none" w:sz="0" w:space="0" w:color="auto"/>
            <w:bottom w:val="none" w:sz="0" w:space="0" w:color="auto"/>
            <w:right w:val="none" w:sz="0" w:space="0" w:color="auto"/>
          </w:divBdr>
        </w:div>
        <w:div w:id="1990402832">
          <w:marLeft w:val="0"/>
          <w:marRight w:val="0"/>
          <w:marTop w:val="0"/>
          <w:marBottom w:val="150"/>
          <w:divBdr>
            <w:top w:val="none" w:sz="0" w:space="0" w:color="auto"/>
            <w:left w:val="none" w:sz="0" w:space="0" w:color="auto"/>
            <w:bottom w:val="none" w:sz="0" w:space="0" w:color="auto"/>
            <w:right w:val="none" w:sz="0" w:space="0" w:color="auto"/>
          </w:divBdr>
        </w:div>
        <w:div w:id="793213433">
          <w:marLeft w:val="0"/>
          <w:marRight w:val="0"/>
          <w:marTop w:val="150"/>
          <w:marBottom w:val="150"/>
          <w:divBdr>
            <w:top w:val="none" w:sz="0" w:space="0" w:color="auto"/>
            <w:left w:val="none" w:sz="0" w:space="0" w:color="auto"/>
            <w:bottom w:val="none" w:sz="0" w:space="0" w:color="auto"/>
            <w:right w:val="none" w:sz="0" w:space="0" w:color="auto"/>
          </w:divBdr>
        </w:div>
        <w:div w:id="1672833282">
          <w:marLeft w:val="0"/>
          <w:marRight w:val="0"/>
          <w:marTop w:val="150"/>
          <w:marBottom w:val="150"/>
          <w:divBdr>
            <w:top w:val="none" w:sz="0" w:space="0" w:color="auto"/>
            <w:left w:val="none" w:sz="0" w:space="0" w:color="auto"/>
            <w:bottom w:val="none" w:sz="0" w:space="0" w:color="auto"/>
            <w:right w:val="none" w:sz="0" w:space="0" w:color="auto"/>
          </w:divBdr>
        </w:div>
        <w:div w:id="88599457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30-2021-%D0%BF/pri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57-20" TargetMode="External"/><Relationship Id="rId4" Type="http://schemas.openxmlformats.org/officeDocument/2006/relationships/settings" Target="settings.xml"/><Relationship Id="rId9" Type="http://schemas.openxmlformats.org/officeDocument/2006/relationships/hyperlink" Target="https://zakon.rada.gov.ua/laws/show/630-2021-%D0%BF/prin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1FE5-7E4F-4423-A271-8ED8BA73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Pages>
  <Words>4498</Words>
  <Characters>2565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Kuzmenko</dc:creator>
  <cp:keywords/>
  <dc:description/>
  <cp:lastModifiedBy>Alina</cp:lastModifiedBy>
  <cp:revision>35</cp:revision>
  <cp:lastPrinted>2026-03-26T07:15:00Z</cp:lastPrinted>
  <dcterms:created xsi:type="dcterms:W3CDTF">2025-10-06T11:36:00Z</dcterms:created>
  <dcterms:modified xsi:type="dcterms:W3CDTF">2026-03-26T07:19:00Z</dcterms:modified>
</cp:coreProperties>
</file>