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249E5" w14:textId="3D671643" w:rsidR="00426B77" w:rsidRPr="00426B77" w:rsidRDefault="00EF01A7" w:rsidP="00EF01A7">
      <w:pPr>
        <w:shd w:val="clear" w:color="auto" w:fill="FFFFFF"/>
        <w:tabs>
          <w:tab w:val="left" w:pos="1701"/>
        </w:tabs>
        <w:spacing w:after="0"/>
        <w:ind w:left="450" w:right="45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З</w:t>
      </w:r>
      <w:r w:rsidR="00426B77" w:rsidRPr="00426B77">
        <w:rPr>
          <w:rFonts w:eastAsia="Times New Roman" w:cs="Times New Roman"/>
          <w:b/>
          <w:bCs/>
          <w:szCs w:val="28"/>
          <w:lang w:val="uk-UA" w:eastAsia="ru-RU"/>
        </w:rPr>
        <w:t xml:space="preserve">АТВЕРДЖЕНО </w:t>
      </w:r>
    </w:p>
    <w:p w14:paraId="5A9BB12B" w14:textId="77777777" w:rsidR="007B0E23" w:rsidRDefault="007B0E23" w:rsidP="00426B77">
      <w:pPr>
        <w:shd w:val="clear" w:color="auto" w:fill="FFFFFF"/>
        <w:spacing w:after="0"/>
        <w:ind w:left="450" w:right="45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Р</w:t>
      </w:r>
      <w:r w:rsidR="00426B77" w:rsidRPr="00426B77">
        <w:rPr>
          <w:rFonts w:eastAsia="Times New Roman" w:cs="Times New Roman"/>
          <w:b/>
          <w:bCs/>
          <w:szCs w:val="28"/>
          <w:lang w:val="uk-UA" w:eastAsia="ru-RU"/>
        </w:rPr>
        <w:t xml:space="preserve">ішення Волинської </w:t>
      </w:r>
    </w:p>
    <w:p w14:paraId="4B639D24" w14:textId="38F00A62" w:rsidR="007B0E23" w:rsidRPr="00426B77" w:rsidRDefault="00426B77" w:rsidP="007B0E23">
      <w:pPr>
        <w:shd w:val="clear" w:color="auto" w:fill="FFFFFF"/>
        <w:spacing w:after="0"/>
        <w:ind w:left="450" w:right="45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  <w:r w:rsidRPr="00426B77">
        <w:rPr>
          <w:rFonts w:eastAsia="Times New Roman" w:cs="Times New Roman"/>
          <w:b/>
          <w:bCs/>
          <w:szCs w:val="28"/>
          <w:lang w:val="uk-UA" w:eastAsia="ru-RU"/>
        </w:rPr>
        <w:t>обласної ради</w:t>
      </w:r>
    </w:p>
    <w:p w14:paraId="26BC56FE" w14:textId="046BDC53" w:rsidR="00426B77" w:rsidRDefault="00426B77" w:rsidP="00426B77">
      <w:pPr>
        <w:shd w:val="clear" w:color="auto" w:fill="FFFFFF"/>
        <w:spacing w:after="0"/>
        <w:ind w:left="450" w:right="45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  <w:r w:rsidRPr="00426B77">
        <w:rPr>
          <w:rFonts w:eastAsia="Times New Roman" w:cs="Times New Roman"/>
          <w:b/>
          <w:bCs/>
          <w:szCs w:val="28"/>
          <w:lang w:val="uk-UA" w:eastAsia="ru-RU"/>
        </w:rPr>
        <w:t>__________</w:t>
      </w:r>
      <w:r w:rsidR="007B0E23">
        <w:rPr>
          <w:rFonts w:eastAsia="Times New Roman" w:cs="Times New Roman"/>
          <w:b/>
          <w:bCs/>
          <w:szCs w:val="28"/>
          <w:lang w:val="uk-UA" w:eastAsia="ru-RU"/>
        </w:rPr>
        <w:t>__</w:t>
      </w:r>
      <w:r w:rsidRPr="00426B77">
        <w:rPr>
          <w:rFonts w:eastAsia="Times New Roman" w:cs="Times New Roman"/>
          <w:b/>
          <w:bCs/>
          <w:szCs w:val="28"/>
          <w:lang w:val="uk-UA" w:eastAsia="ru-RU"/>
        </w:rPr>
        <w:t>2025 р. №___</w:t>
      </w:r>
    </w:p>
    <w:p w14:paraId="67F4F1B9" w14:textId="77777777" w:rsidR="00426B77" w:rsidRDefault="00426B77" w:rsidP="00426B77">
      <w:pPr>
        <w:shd w:val="clear" w:color="auto" w:fill="FFFFFF"/>
        <w:spacing w:after="0"/>
        <w:ind w:left="450" w:right="45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45D31BE4" w14:textId="77777777" w:rsidR="00426B77" w:rsidRDefault="00426B77" w:rsidP="00426B77">
      <w:pPr>
        <w:shd w:val="clear" w:color="auto" w:fill="FFFFFF"/>
        <w:spacing w:after="0"/>
        <w:ind w:left="450" w:right="45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465FF15D" w14:textId="77777777" w:rsidR="00426B77" w:rsidRPr="00426B77" w:rsidRDefault="00426B77" w:rsidP="00426B77">
      <w:pPr>
        <w:shd w:val="clear" w:color="auto" w:fill="FFFFFF"/>
        <w:spacing w:after="0"/>
        <w:ind w:left="450" w:right="45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534E62C2" w14:textId="04318752" w:rsidR="00D225D6" w:rsidRPr="00D225D6" w:rsidRDefault="00D225D6" w:rsidP="00D225D6">
      <w:pPr>
        <w:spacing w:after="0"/>
        <w:jc w:val="center"/>
        <w:rPr>
          <w:rFonts w:cs="Times New Roman"/>
          <w:b/>
          <w:bCs/>
          <w:szCs w:val="28"/>
          <w:shd w:val="clear" w:color="auto" w:fill="FFFFFF"/>
          <w:lang w:val="uk-UA"/>
        </w:rPr>
      </w:pPr>
      <w:r w:rsidRPr="00D225D6">
        <w:rPr>
          <w:rFonts w:eastAsia="Times New Roman" w:cs="Times New Roman"/>
          <w:b/>
          <w:bCs/>
          <w:szCs w:val="28"/>
          <w:lang w:eastAsia="ru-RU"/>
        </w:rPr>
        <w:t>МЕТОДИКА</w:t>
      </w:r>
      <w:r w:rsidRPr="00D225D6">
        <w:rPr>
          <w:rFonts w:eastAsia="Times New Roman" w:cs="Times New Roman"/>
          <w:szCs w:val="28"/>
          <w:lang w:eastAsia="ru-RU"/>
        </w:rPr>
        <w:br/>
      </w:r>
      <w:proofErr w:type="spellStart"/>
      <w:r w:rsidRPr="00D225D6">
        <w:rPr>
          <w:rFonts w:eastAsia="Times New Roman" w:cs="Times New Roman"/>
          <w:b/>
          <w:bCs/>
          <w:szCs w:val="28"/>
          <w:lang w:eastAsia="ru-RU"/>
        </w:rPr>
        <w:t>розрахунку</w:t>
      </w:r>
      <w:proofErr w:type="spellEnd"/>
      <w:r w:rsidRPr="00D225D6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b/>
          <w:bCs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b/>
          <w:bCs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b/>
          <w:bCs/>
          <w:szCs w:val="28"/>
          <w:lang w:eastAsia="ru-RU"/>
        </w:rPr>
        <w:t>майно</w:t>
      </w:r>
      <w:proofErr w:type="spellEnd"/>
      <w:r>
        <w:rPr>
          <w:rFonts w:eastAsia="Times New Roman" w:cs="Times New Roman"/>
          <w:b/>
          <w:bCs/>
          <w:szCs w:val="28"/>
          <w:lang w:val="uk-UA" w:eastAsia="ru-RU"/>
        </w:rPr>
        <w:t xml:space="preserve"> </w:t>
      </w:r>
      <w:r w:rsidRPr="00D225D6">
        <w:rPr>
          <w:rFonts w:cs="Times New Roman"/>
          <w:b/>
          <w:bCs/>
          <w:szCs w:val="28"/>
          <w:shd w:val="clear" w:color="auto" w:fill="FFFFFF"/>
          <w:lang w:val="uk-UA"/>
        </w:rPr>
        <w:t>спільної власності</w:t>
      </w:r>
    </w:p>
    <w:p w14:paraId="012F892B" w14:textId="7B211663" w:rsidR="00D225D6" w:rsidRPr="00D225D6" w:rsidRDefault="00D225D6" w:rsidP="00D225D6">
      <w:pPr>
        <w:spacing w:after="0"/>
        <w:jc w:val="center"/>
        <w:rPr>
          <w:rFonts w:cs="Times New Roman"/>
          <w:b/>
          <w:bCs/>
          <w:szCs w:val="28"/>
          <w:shd w:val="clear" w:color="auto" w:fill="FFFFFF"/>
          <w:lang w:val="uk-UA"/>
        </w:rPr>
      </w:pPr>
      <w:r w:rsidRPr="00D225D6">
        <w:rPr>
          <w:rFonts w:cs="Times New Roman"/>
          <w:b/>
          <w:bCs/>
          <w:szCs w:val="28"/>
          <w:shd w:val="clear" w:color="auto" w:fill="FFFFFF"/>
          <w:lang w:val="uk-UA"/>
        </w:rPr>
        <w:t>територіальних громад сіл, селищ,</w:t>
      </w:r>
    </w:p>
    <w:p w14:paraId="4D0C76B8" w14:textId="34AA5F4B" w:rsidR="00D225D6" w:rsidRDefault="00D225D6" w:rsidP="00D225D6">
      <w:pPr>
        <w:shd w:val="clear" w:color="auto" w:fill="FFFFFF"/>
        <w:spacing w:after="0"/>
        <w:ind w:left="450" w:right="450"/>
        <w:jc w:val="center"/>
        <w:rPr>
          <w:rFonts w:cs="Times New Roman"/>
          <w:b/>
          <w:bCs/>
          <w:szCs w:val="28"/>
          <w:shd w:val="clear" w:color="auto" w:fill="FFFFFF"/>
          <w:lang w:val="uk-UA"/>
        </w:rPr>
      </w:pPr>
      <w:r w:rsidRPr="00D225D6">
        <w:rPr>
          <w:rFonts w:cs="Times New Roman"/>
          <w:b/>
          <w:bCs/>
          <w:szCs w:val="28"/>
          <w:shd w:val="clear" w:color="auto" w:fill="FFFFFF"/>
          <w:lang w:val="uk-UA"/>
        </w:rPr>
        <w:t>міст</w:t>
      </w:r>
      <w:r w:rsidR="000801F7">
        <w:rPr>
          <w:rFonts w:cs="Times New Roman"/>
          <w:b/>
          <w:bCs/>
          <w:szCs w:val="28"/>
          <w:shd w:val="clear" w:color="auto" w:fill="FFFFFF"/>
          <w:lang w:val="uk-UA"/>
        </w:rPr>
        <w:t xml:space="preserve"> Волинської</w:t>
      </w:r>
      <w:r w:rsidRPr="00D225D6">
        <w:rPr>
          <w:rFonts w:cs="Times New Roman"/>
          <w:b/>
          <w:bCs/>
          <w:szCs w:val="28"/>
          <w:shd w:val="clear" w:color="auto" w:fill="FFFFFF"/>
          <w:lang w:val="uk-UA"/>
        </w:rPr>
        <w:t xml:space="preserve"> області</w:t>
      </w:r>
      <w:r w:rsidR="00865701" w:rsidRPr="00865701">
        <w:rPr>
          <w:lang w:val="uk-UA"/>
        </w:rPr>
        <w:t xml:space="preserve"> </w:t>
      </w:r>
      <w:r w:rsidR="00865701" w:rsidRPr="00865701">
        <w:rPr>
          <w:rFonts w:cs="Times New Roman"/>
          <w:b/>
          <w:bCs/>
          <w:szCs w:val="28"/>
          <w:shd w:val="clear" w:color="auto" w:fill="FFFFFF"/>
          <w:lang w:val="uk-UA"/>
        </w:rPr>
        <w:t>та пропорції її розподілу</w:t>
      </w:r>
    </w:p>
    <w:p w14:paraId="062BF02F" w14:textId="77777777" w:rsidR="00EF01A7" w:rsidRPr="00D225D6" w:rsidRDefault="00EF01A7" w:rsidP="00D225D6">
      <w:pPr>
        <w:shd w:val="clear" w:color="auto" w:fill="FFFFFF"/>
        <w:spacing w:after="0"/>
        <w:ind w:left="450" w:right="45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14:paraId="72334AAE" w14:textId="496175F5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0" w:name="n11"/>
      <w:bookmarkEnd w:id="0"/>
      <w:r w:rsidRPr="002A0CA7">
        <w:rPr>
          <w:rFonts w:eastAsia="Times New Roman" w:cs="Times New Roman"/>
          <w:szCs w:val="28"/>
          <w:lang w:eastAsia="ru-RU"/>
        </w:rPr>
        <w:t xml:space="preserve">1. </w:t>
      </w:r>
      <w:r w:rsidRPr="00457C94">
        <w:rPr>
          <w:rFonts w:eastAsia="Times New Roman" w:cs="Times New Roman"/>
          <w:szCs w:val="28"/>
          <w:lang w:eastAsia="ru-RU"/>
        </w:rPr>
        <w:t xml:space="preserve">Методика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розрахунку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користування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майном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спільної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власності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територіальних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громад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сіл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, селищ,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міст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області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пропорції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її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розподілу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далі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– Методика)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розроблен</w:t>
      </w:r>
      <w:proofErr w:type="spellEnd"/>
      <w:r w:rsidR="00EF01A7">
        <w:rPr>
          <w:rFonts w:eastAsia="Times New Roman" w:cs="Times New Roman"/>
          <w:szCs w:val="28"/>
          <w:lang w:val="uk-UA" w:eastAsia="ru-RU"/>
        </w:rPr>
        <w:t>а</w:t>
      </w:r>
      <w:r w:rsidR="007C0AB6" w:rsidRPr="00B70C91">
        <w:rPr>
          <w:rFonts w:eastAsia="Times New Roman" w:cs="Times New Roman"/>
          <w:szCs w:val="28"/>
          <w:lang w:eastAsia="ru-RU"/>
        </w:rPr>
        <w:t xml:space="preserve"> з метою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створення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єдиного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організаційно-економічного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механізму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справляння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="007C0AB6" w:rsidRPr="00B70C91">
        <w:rPr>
          <w:rFonts w:eastAsia="Times New Roman" w:cs="Times New Roman"/>
          <w:szCs w:val="28"/>
          <w:lang w:eastAsia="ru-RU"/>
        </w:rPr>
        <w:t>розподілу</w:t>
      </w:r>
      <w:proofErr w:type="spellEnd"/>
      <w:r w:rsidR="007C0AB6" w:rsidRPr="00B70C91">
        <w:rPr>
          <w:rFonts w:eastAsia="Times New Roman" w:cs="Times New Roman"/>
          <w:szCs w:val="28"/>
          <w:lang w:eastAsia="ru-RU"/>
        </w:rPr>
        <w:t xml:space="preserve"> плати</w:t>
      </w:r>
      <w:r w:rsidR="007C0AB6" w:rsidRPr="007C0AB6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="007C0AB6" w:rsidRPr="007C0AB6">
        <w:rPr>
          <w:rFonts w:eastAsia="Times New Roman" w:cs="Times New Roman"/>
          <w:szCs w:val="28"/>
          <w:lang w:eastAsia="ru-RU"/>
        </w:rPr>
        <w:t>оренду</w:t>
      </w:r>
      <w:proofErr w:type="spellEnd"/>
      <w:r w:rsidR="007C0AB6" w:rsidRPr="007C0AB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57C94">
        <w:rPr>
          <w:rFonts w:eastAsia="Times New Roman" w:cs="Times New Roman"/>
          <w:szCs w:val="28"/>
          <w:lang w:eastAsia="ru-RU"/>
        </w:rPr>
        <w:t>об’єктів</w:t>
      </w:r>
      <w:proofErr w:type="spellEnd"/>
      <w:r w:rsidRPr="00457C94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457C94">
        <w:rPr>
          <w:rFonts w:eastAsia="Times New Roman" w:cs="Times New Roman"/>
          <w:szCs w:val="28"/>
          <w:lang w:eastAsia="ru-RU"/>
        </w:rPr>
        <w:t>визначених</w:t>
      </w:r>
      <w:proofErr w:type="spellEnd"/>
      <w:r w:rsidRPr="00457C94">
        <w:rPr>
          <w:rFonts w:eastAsia="Times New Roman" w:cs="Times New Roman"/>
          <w:szCs w:val="28"/>
          <w:lang w:eastAsia="ru-RU"/>
        </w:rPr>
        <w:t> </w:t>
      </w:r>
      <w:proofErr w:type="spellStart"/>
      <w:r>
        <w:fldChar w:fldCharType="begin"/>
      </w:r>
      <w:r>
        <w:instrText>HYPERLINK "https://zakon.rada.gov.ua/laws/show/157-20" \l "n67" \t "_blank"</w:instrText>
      </w:r>
      <w:r>
        <w:fldChar w:fldCharType="separate"/>
      </w:r>
      <w:r w:rsidRPr="00457C94">
        <w:rPr>
          <w:rFonts w:eastAsia="Times New Roman" w:cs="Times New Roman"/>
          <w:szCs w:val="28"/>
          <w:lang w:eastAsia="ru-RU"/>
        </w:rPr>
        <w:t>частиною</w:t>
      </w:r>
      <w:proofErr w:type="spellEnd"/>
      <w:r w:rsidRPr="00457C94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57C94">
        <w:rPr>
          <w:rFonts w:eastAsia="Times New Roman" w:cs="Times New Roman"/>
          <w:szCs w:val="28"/>
          <w:lang w:eastAsia="ru-RU"/>
        </w:rPr>
        <w:t>першою</w:t>
      </w:r>
      <w:proofErr w:type="spellEnd"/>
      <w:r>
        <w:fldChar w:fldCharType="end"/>
      </w:r>
      <w:r w:rsidRPr="00457C94">
        <w:rPr>
          <w:rFonts w:eastAsia="Times New Roman" w:cs="Times New Roman"/>
          <w:szCs w:val="28"/>
          <w:lang w:eastAsia="ru-RU"/>
        </w:rPr>
        <w:t> </w:t>
      </w:r>
      <w:proofErr w:type="spellStart"/>
      <w:r w:rsidRPr="00457C94">
        <w:rPr>
          <w:rFonts w:eastAsia="Times New Roman" w:cs="Times New Roman"/>
          <w:szCs w:val="28"/>
          <w:lang w:eastAsia="ru-RU"/>
        </w:rPr>
        <w:t>статті</w:t>
      </w:r>
      <w:proofErr w:type="spellEnd"/>
      <w:r w:rsidRPr="00457C94">
        <w:rPr>
          <w:rFonts w:eastAsia="Times New Roman" w:cs="Times New Roman"/>
          <w:szCs w:val="28"/>
          <w:lang w:eastAsia="ru-RU"/>
        </w:rPr>
        <w:t xml:space="preserve"> 3 Закону </w:t>
      </w:r>
      <w:proofErr w:type="spellStart"/>
      <w:r w:rsidRPr="00457C94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Pr="00457C94">
        <w:rPr>
          <w:rFonts w:eastAsia="Times New Roman" w:cs="Times New Roman"/>
          <w:szCs w:val="28"/>
          <w:lang w:eastAsia="ru-RU"/>
        </w:rPr>
        <w:t xml:space="preserve"> </w:t>
      </w:r>
      <w:r w:rsidR="00EF01A7">
        <w:rPr>
          <w:rFonts w:eastAsia="Times New Roman" w:cs="Times New Roman"/>
          <w:szCs w:val="28"/>
          <w:lang w:val="uk-UA" w:eastAsia="ru-RU"/>
        </w:rPr>
        <w:t>«</w:t>
      </w:r>
      <w:r w:rsidRPr="00457C94">
        <w:rPr>
          <w:rFonts w:eastAsia="Times New Roman" w:cs="Times New Roman"/>
          <w:szCs w:val="28"/>
          <w:lang w:eastAsia="ru-RU"/>
        </w:rPr>
        <w:t xml:space="preserve">Про </w:t>
      </w:r>
      <w:proofErr w:type="spellStart"/>
      <w:r w:rsidRPr="00457C94">
        <w:rPr>
          <w:rFonts w:eastAsia="Times New Roman" w:cs="Times New Roman"/>
          <w:szCs w:val="28"/>
          <w:lang w:eastAsia="ru-RU"/>
        </w:rPr>
        <w:t>оренду</w:t>
      </w:r>
      <w:proofErr w:type="spellEnd"/>
      <w:r w:rsidRPr="00457C94">
        <w:rPr>
          <w:rFonts w:eastAsia="Times New Roman" w:cs="Times New Roman"/>
          <w:szCs w:val="28"/>
          <w:lang w:eastAsia="ru-RU"/>
        </w:rPr>
        <w:t xml:space="preserve"> державного та </w:t>
      </w:r>
      <w:proofErr w:type="spellStart"/>
      <w:r w:rsidRPr="00457C94">
        <w:rPr>
          <w:rFonts w:eastAsia="Times New Roman" w:cs="Times New Roman"/>
          <w:szCs w:val="28"/>
          <w:lang w:eastAsia="ru-RU"/>
        </w:rPr>
        <w:t>комунального</w:t>
      </w:r>
      <w:proofErr w:type="spellEnd"/>
      <w:r w:rsidRPr="00457C94">
        <w:rPr>
          <w:rFonts w:eastAsia="Times New Roman" w:cs="Times New Roman"/>
          <w:szCs w:val="28"/>
          <w:lang w:eastAsia="ru-RU"/>
        </w:rPr>
        <w:t xml:space="preserve"> майна</w:t>
      </w:r>
      <w:r w:rsidR="00EF01A7">
        <w:rPr>
          <w:rFonts w:eastAsia="Times New Roman" w:cs="Times New Roman"/>
          <w:szCs w:val="28"/>
          <w:lang w:val="uk-UA" w:eastAsia="ru-RU"/>
        </w:rPr>
        <w:t xml:space="preserve">» </w:t>
      </w:r>
      <w:r w:rsidRPr="00457C94">
        <w:rPr>
          <w:rFonts w:eastAsia="Times New Roman" w:cs="Times New Roman"/>
          <w:szCs w:val="28"/>
          <w:lang w:eastAsia="ru-RU"/>
        </w:rPr>
        <w:t>(</w:t>
      </w:r>
      <w:proofErr w:type="spellStart"/>
      <w:r w:rsidRPr="00457C94">
        <w:rPr>
          <w:rFonts w:eastAsia="Times New Roman" w:cs="Times New Roman"/>
          <w:szCs w:val="28"/>
          <w:lang w:eastAsia="ru-RU"/>
        </w:rPr>
        <w:t>далі</w:t>
      </w:r>
      <w:proofErr w:type="spellEnd"/>
      <w:r w:rsidRPr="00457C94">
        <w:rPr>
          <w:rFonts w:eastAsia="Times New Roman" w:cs="Times New Roman"/>
          <w:szCs w:val="28"/>
          <w:lang w:eastAsia="ru-RU"/>
        </w:rPr>
        <w:t xml:space="preserve"> - Закон).</w:t>
      </w:r>
      <w:r w:rsidR="007C0AB6" w:rsidRPr="007C0AB6">
        <w:t xml:space="preserve"> </w:t>
      </w:r>
    </w:p>
    <w:p w14:paraId="1652EB05" w14:textId="7D1117D4" w:rsidR="0021592B" w:rsidRPr="002342CC" w:rsidRDefault="00D225D6" w:rsidP="00D225D6">
      <w:pPr>
        <w:shd w:val="clear" w:color="auto" w:fill="FFFFFF"/>
        <w:spacing w:after="0"/>
        <w:ind w:firstLine="450"/>
        <w:jc w:val="both"/>
        <w:rPr>
          <w:lang w:val="uk-UA"/>
        </w:rPr>
      </w:pPr>
      <w:bookmarkStart w:id="1" w:name="n12"/>
      <w:bookmarkEnd w:id="1"/>
      <w:r w:rsidRPr="00D225D6">
        <w:rPr>
          <w:rFonts w:eastAsia="Times New Roman" w:cs="Times New Roman"/>
          <w:szCs w:val="28"/>
          <w:lang w:eastAsia="ru-RU"/>
        </w:rPr>
        <w:t xml:space="preserve">2. </w:t>
      </w:r>
      <w:r w:rsidRPr="00B70C91">
        <w:rPr>
          <w:rFonts w:eastAsia="Times New Roman" w:cs="Times New Roman"/>
          <w:szCs w:val="28"/>
          <w:lang w:eastAsia="ru-RU"/>
        </w:rPr>
        <w:t xml:space="preserve">У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коли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орендодавцем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нерухомого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майна</w:t>
      </w:r>
      <w:r w:rsidR="000801F7" w:rsidRPr="00B70C91">
        <w:rPr>
          <w:rFonts w:eastAsia="Times New Roman" w:cs="Times New Roman"/>
          <w:szCs w:val="28"/>
          <w:lang w:val="uk-UA" w:eastAsia="ru-RU"/>
        </w:rPr>
        <w:t xml:space="preserve"> спільної власності територіальних громад сіл, селищ, міст Волинської області</w:t>
      </w:r>
      <w:r w:rsidR="00A15EAC" w:rsidRPr="00B70C91">
        <w:rPr>
          <w:rFonts w:eastAsia="Times New Roman" w:cs="Times New Roman"/>
          <w:szCs w:val="28"/>
          <w:lang w:val="uk-UA" w:eastAsia="ru-RU"/>
        </w:rPr>
        <w:t xml:space="preserve"> </w:t>
      </w:r>
      <w:r w:rsidRPr="00B70C91">
        <w:rPr>
          <w:rFonts w:eastAsia="Times New Roman" w:cs="Times New Roman"/>
          <w:szCs w:val="28"/>
          <w:lang w:eastAsia="ru-RU"/>
        </w:rPr>
        <w:t xml:space="preserve">є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балансоутримувач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плати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погоджується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уповноваженим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органом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управління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майном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>.</w:t>
      </w:r>
      <w:r w:rsidR="006500FA" w:rsidRPr="00B70C91">
        <w:t xml:space="preserve"> </w:t>
      </w:r>
    </w:p>
    <w:p w14:paraId="712D845A" w14:textId="466B2B6B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D225D6">
        <w:rPr>
          <w:rFonts w:eastAsia="Times New Roman" w:cs="Times New Roman"/>
          <w:szCs w:val="28"/>
          <w:lang w:eastAsia="ru-RU"/>
        </w:rPr>
        <w:t xml:space="preserve">3. </w:t>
      </w:r>
      <w:bookmarkStart w:id="2" w:name="n14"/>
      <w:bookmarkStart w:id="3" w:name="n15"/>
      <w:bookmarkEnd w:id="2"/>
      <w:bookmarkEnd w:id="3"/>
      <w:r w:rsidRPr="00D225D6">
        <w:rPr>
          <w:rFonts w:eastAsia="Times New Roman" w:cs="Times New Roman"/>
          <w:szCs w:val="28"/>
          <w:lang w:eastAsia="ru-RU"/>
        </w:rPr>
        <w:t xml:space="preserve">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укладення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договору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дипломатичними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представництвами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консульськими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установами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іноземних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держав,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представництвами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міжнародних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організацій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Україні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крім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договорів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якими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врегульована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міжнародними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договорами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згода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обов’язковість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яких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надана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Верховною Радою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)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може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бути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встановлена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валюті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яка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 </w:t>
      </w:r>
      <w:proofErr w:type="spellStart"/>
      <w:r>
        <w:fldChar w:fldCharType="begin"/>
      </w:r>
      <w:r>
        <w:instrText>HYPERLINK "https://zakon.rada.gov.ua/laws/show/v0521500-98" \l "n14" \t "_blank"</w:instrText>
      </w:r>
      <w:r>
        <w:fldChar w:fldCharType="separate"/>
      </w:r>
      <w:r w:rsidRPr="00D225D6">
        <w:rPr>
          <w:rFonts w:eastAsia="Times New Roman" w:cs="Times New Roman"/>
          <w:szCs w:val="28"/>
          <w:lang w:eastAsia="ru-RU"/>
        </w:rPr>
        <w:t>Класифікатора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іноземних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валют 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банківських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металів</w:t>
      </w:r>
      <w:proofErr w:type="spellEnd"/>
      <w:r>
        <w:fldChar w:fldCharType="end"/>
      </w:r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затвердженого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постановою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Правління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Національного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банку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r w:rsidR="008440CA">
        <w:rPr>
          <w:rFonts w:eastAsia="Times New Roman" w:cs="Times New Roman"/>
          <w:szCs w:val="28"/>
          <w:lang w:val="uk-UA" w:eastAsia="ru-RU"/>
        </w:rPr>
        <w:t>0</w:t>
      </w:r>
      <w:r w:rsidRPr="00D225D6">
        <w:rPr>
          <w:rFonts w:eastAsia="Times New Roman" w:cs="Times New Roman"/>
          <w:szCs w:val="28"/>
          <w:lang w:eastAsia="ru-RU"/>
        </w:rPr>
        <w:t xml:space="preserve">4 лютого </w:t>
      </w:r>
      <w:r w:rsidR="00EF01A7">
        <w:rPr>
          <w:rFonts w:eastAsia="Times New Roman" w:cs="Times New Roman"/>
          <w:szCs w:val="28"/>
          <w:lang w:val="uk-UA" w:eastAsia="ru-RU"/>
        </w:rPr>
        <w:t xml:space="preserve">         </w:t>
      </w:r>
      <w:r w:rsidRPr="00D225D6">
        <w:rPr>
          <w:rFonts w:eastAsia="Times New Roman" w:cs="Times New Roman"/>
          <w:szCs w:val="28"/>
          <w:lang w:eastAsia="ru-RU"/>
        </w:rPr>
        <w:t>1998 р</w:t>
      </w:r>
      <w:r w:rsidR="00EF01A7">
        <w:rPr>
          <w:rFonts w:eastAsia="Times New Roman" w:cs="Times New Roman"/>
          <w:szCs w:val="28"/>
          <w:lang w:val="uk-UA" w:eastAsia="ru-RU"/>
        </w:rPr>
        <w:t>оку</w:t>
      </w:r>
      <w:r w:rsidRPr="00D225D6">
        <w:rPr>
          <w:rFonts w:eastAsia="Times New Roman" w:cs="Times New Roman"/>
          <w:szCs w:val="28"/>
          <w:lang w:eastAsia="ru-RU"/>
        </w:rPr>
        <w:t xml:space="preserve"> № 34,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належить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 1 групи (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конвертовані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валюти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широко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використовуються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здійснення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платежів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міжнародними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операціями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валюти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країн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-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членів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Європейського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Союзу 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банківські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метали).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розрахунку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визначається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такій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валюті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офіційним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курсом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Національного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банку станом на 1 число базового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розрахунку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Зазначена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звільняється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коригування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індекс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інфляції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.</w:t>
      </w:r>
    </w:p>
    <w:p w14:paraId="7A3B546C" w14:textId="77777777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" w:name="n16"/>
      <w:bookmarkEnd w:id="4"/>
      <w:r w:rsidRPr="00D225D6">
        <w:rPr>
          <w:rFonts w:eastAsia="Times New Roman" w:cs="Times New Roman"/>
          <w:szCs w:val="28"/>
          <w:lang w:eastAsia="ru-RU"/>
        </w:rPr>
        <w:t xml:space="preserve">4. До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іншого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окремого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індивідуально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не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включаються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витрати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утримання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орендованого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та плата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послуги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укладеного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договору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зобов’язується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надавати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орендарю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балансоутримувач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.</w:t>
      </w:r>
    </w:p>
    <w:p w14:paraId="5122AA72" w14:textId="3B152BC0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" w:name="n17"/>
      <w:bookmarkEnd w:id="5"/>
      <w:r w:rsidRPr="00D225D6">
        <w:rPr>
          <w:rFonts w:eastAsia="Times New Roman" w:cs="Times New Roman"/>
          <w:szCs w:val="28"/>
          <w:lang w:eastAsia="ru-RU"/>
        </w:rPr>
        <w:t xml:space="preserve">5.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Відшкодування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витрат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балансоутримувача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утримання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орендованого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(у тому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числі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загального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користування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прибудинкової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території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) 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надання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комунальних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послуг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орендарю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здійснюється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D225D6">
        <w:rPr>
          <w:rFonts w:eastAsia="Times New Roman" w:cs="Times New Roman"/>
          <w:szCs w:val="28"/>
          <w:lang w:eastAsia="ru-RU"/>
        </w:rPr>
        <w:t>до договору</w:t>
      </w:r>
      <w:proofErr w:type="gram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укладеного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між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балансоутримувачем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орендарем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примірна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r w:rsidRPr="00B70C91">
        <w:rPr>
          <w:rFonts w:eastAsia="Times New Roman" w:cs="Times New Roman"/>
          <w:szCs w:val="28"/>
          <w:lang w:eastAsia="ru-RU"/>
        </w:rPr>
        <w:t xml:space="preserve">форма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якого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B70C91">
        <w:rPr>
          <w:rFonts w:eastAsia="Times New Roman" w:cs="Times New Roman"/>
          <w:szCs w:val="28"/>
          <w:lang w:eastAsia="ru-RU"/>
        </w:rPr>
        <w:t>затверджується</w:t>
      </w:r>
      <w:proofErr w:type="spellEnd"/>
      <w:r w:rsidRPr="00B70C91">
        <w:rPr>
          <w:rFonts w:eastAsia="Times New Roman" w:cs="Times New Roman"/>
          <w:szCs w:val="28"/>
          <w:lang w:eastAsia="ru-RU"/>
        </w:rPr>
        <w:t xml:space="preserve"> </w:t>
      </w:r>
      <w:r w:rsidR="007C0AB6" w:rsidRPr="00B70C91">
        <w:rPr>
          <w:rFonts w:eastAsia="Times New Roman" w:cs="Times New Roman"/>
          <w:color w:val="000000" w:themeColor="text1"/>
          <w:szCs w:val="28"/>
          <w:lang w:val="uk-UA" w:eastAsia="ru-RU"/>
        </w:rPr>
        <w:t>Фондом державного майна.</w:t>
      </w:r>
    </w:p>
    <w:p w14:paraId="39F1B0F4" w14:textId="78E6FFF2" w:rsid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6" w:name="n18"/>
      <w:bookmarkEnd w:id="6"/>
      <w:r w:rsidRPr="00D225D6">
        <w:rPr>
          <w:rFonts w:eastAsia="Times New Roman" w:cs="Times New Roman"/>
          <w:szCs w:val="28"/>
          <w:lang w:eastAsia="ru-RU"/>
        </w:rPr>
        <w:lastRenderedPageBreak/>
        <w:t xml:space="preserve">6.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нерухомого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(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крім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нерухомого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орендарями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7339C0">
        <w:rPr>
          <w:rFonts w:eastAsia="Times New Roman" w:cs="Times New Roman"/>
          <w:szCs w:val="28"/>
          <w:lang w:eastAsia="ru-RU"/>
        </w:rPr>
        <w:t>зазначеними</w:t>
      </w:r>
      <w:proofErr w:type="spellEnd"/>
      <w:r w:rsidRPr="007339C0">
        <w:rPr>
          <w:rFonts w:eastAsia="Times New Roman" w:cs="Times New Roman"/>
          <w:szCs w:val="28"/>
          <w:lang w:eastAsia="ru-RU"/>
        </w:rPr>
        <w:t xml:space="preserve"> у </w:t>
      </w:r>
      <w:proofErr w:type="spellStart"/>
      <w:r>
        <w:fldChar w:fldCharType="begin"/>
      </w:r>
      <w:r>
        <w:instrText>HYPERLINK "https://zakon.rada.gov.ua/laws/show/630-2021-%D0%BF/print" \l "n49"</w:instrText>
      </w:r>
      <w:r>
        <w:fldChar w:fldCharType="separate"/>
      </w:r>
      <w:r w:rsidRPr="007339C0">
        <w:rPr>
          <w:rFonts w:eastAsia="Times New Roman" w:cs="Times New Roman"/>
          <w:szCs w:val="28"/>
          <w:lang w:eastAsia="ru-RU"/>
        </w:rPr>
        <w:t>пункті</w:t>
      </w:r>
      <w:proofErr w:type="spellEnd"/>
      <w:r w:rsidRPr="007339C0">
        <w:rPr>
          <w:rFonts w:eastAsia="Times New Roman" w:cs="Times New Roman"/>
          <w:szCs w:val="28"/>
          <w:lang w:eastAsia="ru-RU"/>
        </w:rPr>
        <w:t xml:space="preserve"> 13</w:t>
      </w:r>
      <w:r>
        <w:fldChar w:fldCharType="end"/>
      </w:r>
      <w:r w:rsidRPr="007339C0">
        <w:rPr>
          <w:rFonts w:eastAsia="Times New Roman" w:cs="Times New Roman"/>
          <w:szCs w:val="28"/>
          <w:lang w:eastAsia="ru-RU"/>
        </w:rPr>
        <w:t> </w:t>
      </w:r>
      <w:proofErr w:type="spellStart"/>
      <w:r w:rsidRPr="007339C0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7339C0">
        <w:rPr>
          <w:rFonts w:eastAsia="Times New Roman" w:cs="Times New Roman"/>
          <w:szCs w:val="28"/>
          <w:lang w:eastAsia="ru-RU"/>
        </w:rPr>
        <w:t xml:space="preserve"> Методики) та </w:t>
      </w:r>
      <w:proofErr w:type="spellStart"/>
      <w:r w:rsidRPr="007339C0">
        <w:rPr>
          <w:rFonts w:eastAsia="Times New Roman" w:cs="Times New Roman"/>
          <w:szCs w:val="28"/>
          <w:lang w:eastAsia="ru-RU"/>
        </w:rPr>
        <w:t>іншого</w:t>
      </w:r>
      <w:proofErr w:type="spellEnd"/>
      <w:r w:rsidRPr="007339C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7339C0">
        <w:rPr>
          <w:rFonts w:eastAsia="Times New Roman" w:cs="Times New Roman"/>
          <w:szCs w:val="28"/>
          <w:lang w:eastAsia="ru-RU"/>
        </w:rPr>
        <w:t>окремого</w:t>
      </w:r>
      <w:proofErr w:type="spellEnd"/>
      <w:r w:rsidRPr="007339C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7339C0">
        <w:rPr>
          <w:rFonts w:eastAsia="Times New Roman" w:cs="Times New Roman"/>
          <w:szCs w:val="28"/>
          <w:lang w:eastAsia="ru-RU"/>
        </w:rPr>
        <w:t>індивідуально</w:t>
      </w:r>
      <w:proofErr w:type="spellEnd"/>
      <w:r w:rsidRPr="007339C0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7339C0">
        <w:rPr>
          <w:rFonts w:eastAsia="Times New Roman" w:cs="Times New Roman"/>
          <w:szCs w:val="28"/>
          <w:lang w:eastAsia="ru-RU"/>
        </w:rPr>
        <w:t>визначеного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річної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визначається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формулою:</w:t>
      </w:r>
    </w:p>
    <w:p w14:paraId="50F5DA61" w14:textId="692BF316" w:rsidR="00E65649" w:rsidRPr="00D225D6" w:rsidRDefault="00E65649" w:rsidP="00E65649">
      <w:pPr>
        <w:shd w:val="clear" w:color="auto" w:fill="FFFFFF"/>
        <w:spacing w:after="0"/>
        <w:ind w:firstLine="450"/>
        <w:jc w:val="center"/>
        <w:rPr>
          <w:rFonts w:eastAsia="Times New Roman" w:cs="Times New Roman"/>
          <w:szCs w:val="28"/>
          <w:lang w:eastAsia="ru-RU"/>
        </w:rPr>
      </w:pPr>
      <w:r>
        <w:rPr>
          <w:noProof/>
        </w:rPr>
        <w:drawing>
          <wp:inline distT="0" distB="0" distL="0" distR="0" wp14:anchorId="5F61C7DD" wp14:editId="52DFA78F">
            <wp:extent cx="1247140" cy="439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270"/>
        <w:gridCol w:w="7547"/>
      </w:tblGrid>
      <w:tr w:rsidR="00E65649" w:rsidRPr="00D225D6" w14:paraId="7313CE49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81E5CCE" w14:textId="77777777" w:rsidR="00D225D6" w:rsidRPr="00D225D6" w:rsidRDefault="00D225D6" w:rsidP="00D225D6">
            <w:pPr>
              <w:spacing w:after="0"/>
              <w:ind w:firstLine="45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bookmarkStart w:id="7" w:name="n226"/>
            <w:bookmarkStart w:id="8" w:name="n228"/>
            <w:bookmarkEnd w:id="7"/>
            <w:bookmarkEnd w:id="8"/>
            <w:r w:rsidRPr="00D225D6">
              <w:rPr>
                <w:rFonts w:eastAsia="Times New Roman" w:cs="Times New Roman"/>
                <w:szCs w:val="28"/>
                <w:lang w:eastAsia="ru-RU"/>
              </w:rPr>
              <w:t>де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DB0E59" w14:textId="5B9FFA3B" w:rsidR="00D225D6" w:rsidRPr="00D225D6" w:rsidRDefault="00E65649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3C6304F" wp14:editId="745A7706">
                  <wp:extent cx="419932" cy="38594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248" cy="419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1C2390F" w14:textId="77777777" w:rsidR="00D225D6" w:rsidRPr="00D225D6" w:rsidRDefault="00D225D6" w:rsidP="00D225D6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розмір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річної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плати, гривень;</w:t>
            </w:r>
          </w:p>
        </w:tc>
      </w:tr>
      <w:tr w:rsidR="00E65649" w:rsidRPr="00D225D6" w14:paraId="464C52E5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DDBE8E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E22523" w14:textId="77777777" w:rsid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  <w:p w14:paraId="7BC3D0B1" w14:textId="222A1202" w:rsidR="00E65649" w:rsidRDefault="00E65649" w:rsidP="00E65649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301AC5F" wp14:editId="65B1DCB0">
                  <wp:extent cx="478240" cy="385008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435" cy="46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E42720" w14:textId="34B76C55" w:rsidR="00E65649" w:rsidRPr="00E65649" w:rsidRDefault="00E65649" w:rsidP="00E65649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BDD2CA" w14:textId="77777777" w:rsidR="00D225D6" w:rsidRPr="00D225D6" w:rsidRDefault="00D225D6" w:rsidP="00D225D6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вартість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орендованого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майна,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визначена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шляхом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проведення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незалежної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оцінки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(без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урахування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податку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на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додану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вартість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>), гривень;</w:t>
            </w:r>
          </w:p>
        </w:tc>
      </w:tr>
      <w:tr w:rsidR="00E65649" w:rsidRPr="00D225D6" w14:paraId="27745125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14E7EA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7B859E" w14:textId="77777777" w:rsid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  <w:p w14:paraId="010EBEDC" w14:textId="26C8C83D" w:rsidR="00E65649" w:rsidRDefault="00E65649" w:rsidP="00E65649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2B2B2645" wp14:editId="32766BE3">
                  <wp:extent cx="451262" cy="451262"/>
                  <wp:effectExtent l="0" t="0" r="6350" b="635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021" cy="46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11FC36" w14:textId="787A25F2" w:rsidR="00E65649" w:rsidRPr="00E65649" w:rsidRDefault="00E65649" w:rsidP="00E65649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05755C" w14:textId="77777777" w:rsidR="00D225D6" w:rsidRPr="00D225D6" w:rsidRDefault="00D225D6" w:rsidP="00D225D6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орендна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ставка,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визначена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згідно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з </w:t>
            </w:r>
            <w:proofErr w:type="spellStart"/>
            <w:r>
              <w:fldChar w:fldCharType="begin"/>
            </w:r>
            <w:r>
              <w:instrText>HYPERLINK "https://zakon.rada.gov.ua/laws/show/630-2021-%D0%BF/print" \l "n76"</w:instrText>
            </w:r>
            <w:r>
              <w:fldChar w:fldCharType="separate"/>
            </w:r>
            <w:r w:rsidRPr="00D225D6">
              <w:rPr>
                <w:rFonts w:eastAsia="Times New Roman" w:cs="Times New Roman"/>
                <w:szCs w:val="28"/>
                <w:lang w:eastAsia="ru-RU"/>
              </w:rPr>
              <w:t>додатком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1</w:t>
            </w:r>
            <w:r>
              <w:fldChar w:fldCharType="end"/>
            </w: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 (у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разі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укладення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договору з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орендарем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відповідно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до </w:t>
            </w:r>
            <w:proofErr w:type="spellStart"/>
            <w:r>
              <w:fldChar w:fldCharType="begin"/>
            </w:r>
            <w:r>
              <w:instrText>HYPERLINK "https://zakon.rada.gov.ua/laws/show/157-20" \l "n299" \t "_blank"</w:instrText>
            </w:r>
            <w:r>
              <w:fldChar w:fldCharType="separate"/>
            </w:r>
            <w:r w:rsidRPr="00D225D6">
              <w:rPr>
                <w:rFonts w:eastAsia="Times New Roman" w:cs="Times New Roman"/>
                <w:szCs w:val="28"/>
                <w:lang w:eastAsia="ru-RU"/>
              </w:rPr>
              <w:t>статті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15</w:t>
            </w:r>
            <w:r>
              <w:fldChar w:fldCharType="end"/>
            </w: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 Закону)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або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> </w:t>
            </w:r>
            <w:proofErr w:type="spellStart"/>
            <w:r>
              <w:fldChar w:fldCharType="begin"/>
            </w:r>
            <w:r>
              <w:instrText>HYPERLINK "https://zakon.rada.gov.ua/laws/show/630-2021-%D0%BF/print" \l "n79"</w:instrText>
            </w:r>
            <w:r>
              <w:fldChar w:fldCharType="separate"/>
            </w:r>
            <w:r w:rsidRPr="00D225D6">
              <w:rPr>
                <w:rFonts w:eastAsia="Times New Roman" w:cs="Times New Roman"/>
                <w:szCs w:val="28"/>
                <w:lang w:eastAsia="ru-RU"/>
              </w:rPr>
              <w:t>додатком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2</w:t>
            </w:r>
            <w:r>
              <w:fldChar w:fldCharType="end"/>
            </w: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 (для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договорів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оренди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які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продовжуються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вперше</w:t>
            </w:r>
            <w:proofErr w:type="spellEnd"/>
            <w:r w:rsidRPr="007339C0">
              <w:rPr>
                <w:rFonts w:eastAsia="Times New Roman" w:cs="Times New Roman"/>
                <w:szCs w:val="28"/>
                <w:lang w:eastAsia="ru-RU"/>
              </w:rPr>
              <w:t xml:space="preserve">) </w:t>
            </w:r>
            <w:proofErr w:type="spellStart"/>
            <w:r w:rsidRPr="007339C0">
              <w:rPr>
                <w:rFonts w:eastAsia="Times New Roman" w:cs="Times New Roman"/>
                <w:szCs w:val="28"/>
                <w:lang w:eastAsia="ru-RU"/>
              </w:rPr>
              <w:t>або</w:t>
            </w:r>
            <w:proofErr w:type="spellEnd"/>
            <w:r w:rsidRPr="007339C0">
              <w:rPr>
                <w:rFonts w:eastAsia="Times New Roman" w:cs="Times New Roman"/>
                <w:szCs w:val="28"/>
                <w:lang w:eastAsia="ru-RU"/>
              </w:rPr>
              <w:t> </w:t>
            </w:r>
            <w:hyperlink r:id="rId12" w:anchor="n62" w:history="1">
              <w:r w:rsidRPr="007339C0">
                <w:rPr>
                  <w:rFonts w:eastAsia="Times New Roman" w:cs="Times New Roman"/>
                  <w:szCs w:val="28"/>
                  <w:lang w:eastAsia="ru-RU"/>
                </w:rPr>
                <w:t>пунктом 14</w:t>
              </w:r>
            </w:hyperlink>
            <w:r w:rsidRPr="007339C0">
              <w:rPr>
                <w:rFonts w:eastAsia="Times New Roman" w:cs="Times New Roman"/>
                <w:szCs w:val="28"/>
                <w:lang w:eastAsia="ru-RU"/>
              </w:rPr>
              <w:t> </w:t>
            </w:r>
            <w:proofErr w:type="spellStart"/>
            <w:r w:rsidRPr="007339C0">
              <w:rPr>
                <w:rFonts w:eastAsia="Times New Roman" w:cs="Times New Roman"/>
                <w:szCs w:val="28"/>
                <w:lang w:eastAsia="ru-RU"/>
              </w:rPr>
              <w:t>цієї</w:t>
            </w:r>
            <w:proofErr w:type="spellEnd"/>
            <w:r w:rsidRPr="007339C0">
              <w:rPr>
                <w:rFonts w:eastAsia="Times New Roman" w:cs="Times New Roman"/>
                <w:szCs w:val="28"/>
                <w:lang w:eastAsia="ru-RU"/>
              </w:rPr>
              <w:t xml:space="preserve"> Методики для </w:t>
            </w:r>
            <w:proofErr w:type="spellStart"/>
            <w:r w:rsidRPr="007339C0">
              <w:rPr>
                <w:rFonts w:eastAsia="Times New Roman" w:cs="Times New Roman"/>
                <w:szCs w:val="28"/>
                <w:lang w:eastAsia="ru-RU"/>
              </w:rPr>
              <w:t>іншого</w:t>
            </w:r>
            <w:proofErr w:type="spellEnd"/>
            <w:r w:rsidRPr="007339C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7339C0">
              <w:rPr>
                <w:rFonts w:eastAsia="Times New Roman" w:cs="Times New Roman"/>
                <w:szCs w:val="28"/>
                <w:lang w:eastAsia="ru-RU"/>
              </w:rPr>
              <w:t>окремого</w:t>
            </w:r>
            <w:proofErr w:type="spellEnd"/>
            <w:r w:rsidRPr="007339C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7339C0">
              <w:rPr>
                <w:rFonts w:eastAsia="Times New Roman" w:cs="Times New Roman"/>
                <w:szCs w:val="28"/>
                <w:lang w:eastAsia="ru-RU"/>
              </w:rPr>
              <w:t>індивідуально</w:t>
            </w:r>
            <w:proofErr w:type="spellEnd"/>
            <w:r w:rsidRPr="007339C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7339C0">
              <w:rPr>
                <w:rFonts w:eastAsia="Times New Roman" w:cs="Times New Roman"/>
                <w:szCs w:val="28"/>
                <w:lang w:eastAsia="ru-RU"/>
              </w:rPr>
              <w:t>визначеного</w:t>
            </w:r>
            <w:proofErr w:type="spellEnd"/>
            <w:r w:rsidRPr="007339C0">
              <w:rPr>
                <w:rFonts w:eastAsia="Times New Roman" w:cs="Times New Roman"/>
                <w:szCs w:val="28"/>
                <w:lang w:eastAsia="ru-RU"/>
              </w:rPr>
              <w:t xml:space="preserve"> майна.</w:t>
            </w:r>
          </w:p>
        </w:tc>
      </w:tr>
    </w:tbl>
    <w:p w14:paraId="3459C2B2" w14:textId="4D951F82" w:rsid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9" w:name="n24"/>
      <w:bookmarkEnd w:id="9"/>
      <w:r w:rsidRPr="00D225D6">
        <w:rPr>
          <w:rFonts w:eastAsia="Times New Roman" w:cs="Times New Roman"/>
          <w:szCs w:val="28"/>
          <w:lang w:eastAsia="ru-RU"/>
        </w:rPr>
        <w:t xml:space="preserve">7.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нерухомого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іншого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окремого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індивідуально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визначається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формулою:</w:t>
      </w:r>
    </w:p>
    <w:p w14:paraId="6CE6A1A7" w14:textId="0FFE1A2A" w:rsidR="00E65649" w:rsidRPr="00D225D6" w:rsidRDefault="00E65649" w:rsidP="00E65649">
      <w:pPr>
        <w:shd w:val="clear" w:color="auto" w:fill="FFFFFF"/>
        <w:spacing w:after="0"/>
        <w:ind w:firstLine="450"/>
        <w:jc w:val="center"/>
        <w:rPr>
          <w:rFonts w:eastAsia="Times New Roman" w:cs="Times New Roman"/>
          <w:szCs w:val="28"/>
          <w:lang w:eastAsia="ru-RU"/>
        </w:rPr>
      </w:pPr>
      <w:r>
        <w:rPr>
          <w:noProof/>
        </w:rPr>
        <w:drawing>
          <wp:inline distT="0" distB="0" distL="0" distR="0" wp14:anchorId="016E138B" wp14:editId="0CC22B26">
            <wp:extent cx="962025" cy="427355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1495"/>
        <w:gridCol w:w="7601"/>
      </w:tblGrid>
      <w:tr w:rsidR="00D225D6" w:rsidRPr="00D225D6" w14:paraId="4B97D6AC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28F00BA" w14:textId="77777777" w:rsidR="00D225D6" w:rsidRPr="00D225D6" w:rsidRDefault="00D225D6" w:rsidP="00D225D6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10" w:name="n25"/>
            <w:bookmarkStart w:id="11" w:name="n230"/>
            <w:bookmarkEnd w:id="10"/>
            <w:bookmarkEnd w:id="11"/>
            <w:r w:rsidRPr="00D225D6">
              <w:rPr>
                <w:rFonts w:eastAsia="Times New Roman" w:cs="Times New Roman"/>
                <w:szCs w:val="28"/>
                <w:lang w:eastAsia="ru-RU"/>
              </w:rPr>
              <w:t>де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1BC625" w14:textId="5660366D" w:rsidR="00D225D6" w:rsidRPr="00D225D6" w:rsidRDefault="00E65649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4F69328B" wp14:editId="78341CDF">
                  <wp:extent cx="649309" cy="36224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617" cy="380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B8D6CE9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розмір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місячної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плати, гривень.</w:t>
            </w:r>
          </w:p>
        </w:tc>
      </w:tr>
    </w:tbl>
    <w:p w14:paraId="1B136EE3" w14:textId="55E49C12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2" w:name="n27"/>
      <w:bookmarkEnd w:id="12"/>
      <w:r w:rsidRPr="00D225D6">
        <w:rPr>
          <w:rFonts w:eastAsia="Times New Roman" w:cs="Times New Roman"/>
          <w:szCs w:val="28"/>
          <w:lang w:eastAsia="ru-RU"/>
        </w:rPr>
        <w:t xml:space="preserve">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коли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між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датою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і датою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підписання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акта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приймання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-переда</w:t>
      </w:r>
      <w:proofErr w:type="spellStart"/>
      <w:r w:rsidR="00EF01A7">
        <w:rPr>
          <w:rFonts w:eastAsia="Times New Roman" w:cs="Times New Roman"/>
          <w:szCs w:val="28"/>
          <w:lang w:val="uk-UA" w:eastAsia="ru-RU"/>
        </w:rPr>
        <w:t>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минуло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більше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ніж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один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повний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календарний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перший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встановлюється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шляхом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коригування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індекс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інфляції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місяцях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минули з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дати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.</w:t>
      </w:r>
    </w:p>
    <w:p w14:paraId="5391AB3E" w14:textId="02448157" w:rsid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3" w:name="n28"/>
      <w:bookmarkEnd w:id="13"/>
      <w:r w:rsidRPr="00D225D6">
        <w:rPr>
          <w:rFonts w:eastAsia="Times New Roman" w:cs="Times New Roman"/>
          <w:szCs w:val="28"/>
          <w:lang w:eastAsia="ru-RU"/>
        </w:rPr>
        <w:t xml:space="preserve">8.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добової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розраховується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основі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місячної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розрахунку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кількості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днів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фактичного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користування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формулою:</w:t>
      </w:r>
    </w:p>
    <w:p w14:paraId="1922907E" w14:textId="6FC51F64" w:rsidR="00E65649" w:rsidRPr="00D225D6" w:rsidRDefault="00E65649" w:rsidP="00E65649">
      <w:pPr>
        <w:shd w:val="clear" w:color="auto" w:fill="FFFFFF"/>
        <w:spacing w:after="0"/>
        <w:ind w:firstLine="450"/>
        <w:jc w:val="center"/>
        <w:rPr>
          <w:rFonts w:eastAsia="Times New Roman" w:cs="Times New Roman"/>
          <w:szCs w:val="28"/>
          <w:lang w:eastAsia="ru-RU"/>
        </w:rPr>
      </w:pPr>
      <w:r>
        <w:rPr>
          <w:noProof/>
        </w:rPr>
        <w:drawing>
          <wp:inline distT="0" distB="0" distL="0" distR="0" wp14:anchorId="768BED00" wp14:editId="33C0352F">
            <wp:extent cx="1258570" cy="4451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1503"/>
        <w:gridCol w:w="7609"/>
      </w:tblGrid>
      <w:tr w:rsidR="00E65649" w:rsidRPr="00D225D6" w14:paraId="5740FE2B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634CE2" w14:textId="77777777" w:rsidR="00D225D6" w:rsidRPr="00D225D6" w:rsidRDefault="00D225D6" w:rsidP="00D225D6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14" w:name="n29"/>
            <w:bookmarkStart w:id="15" w:name="n232"/>
            <w:bookmarkEnd w:id="14"/>
            <w:bookmarkEnd w:id="15"/>
            <w:r w:rsidRPr="00D225D6">
              <w:rPr>
                <w:rFonts w:eastAsia="Times New Roman" w:cs="Times New Roman"/>
                <w:szCs w:val="28"/>
                <w:lang w:eastAsia="ru-RU"/>
              </w:rPr>
              <w:t>де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892808" w14:textId="2392E515" w:rsidR="00D225D6" w:rsidRPr="00D225D6" w:rsidRDefault="00E65649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14BA6F8A" wp14:editId="5FDA0E14">
                  <wp:extent cx="682831" cy="363111"/>
                  <wp:effectExtent l="0" t="0" r="317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435" cy="403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AD1A201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розмір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добової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плати, гривень;</w:t>
            </w:r>
          </w:p>
        </w:tc>
      </w:tr>
      <w:tr w:rsidR="00E65649" w:rsidRPr="00D225D6" w14:paraId="25774037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363908F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DADAF17" w14:textId="77777777" w:rsidR="00D225D6" w:rsidRPr="00D225D6" w:rsidRDefault="00D225D6" w:rsidP="00D225D6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>Х</w:t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B22E9FD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кількість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днів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у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місяці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фактичного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користування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</w:tbl>
    <w:p w14:paraId="6AE74563" w14:textId="4B5AEEE1" w:rsid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6" w:name="n32"/>
      <w:bookmarkEnd w:id="16"/>
      <w:r w:rsidRPr="00D225D6">
        <w:rPr>
          <w:rFonts w:eastAsia="Times New Roman" w:cs="Times New Roman"/>
          <w:szCs w:val="28"/>
          <w:lang w:eastAsia="ru-RU"/>
        </w:rPr>
        <w:t xml:space="preserve">9.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погодинної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об’єкт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розраховується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основі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добової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із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розрахунку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24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години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добу за формулою:</w:t>
      </w:r>
    </w:p>
    <w:p w14:paraId="7A8B10DD" w14:textId="5D4DAF67" w:rsidR="00E65649" w:rsidRPr="00D225D6" w:rsidRDefault="00B91014" w:rsidP="00E65649">
      <w:pPr>
        <w:shd w:val="clear" w:color="auto" w:fill="FFFFFF"/>
        <w:spacing w:after="0"/>
        <w:ind w:firstLine="450"/>
        <w:jc w:val="center"/>
        <w:rPr>
          <w:rFonts w:eastAsia="Times New Roman" w:cs="Times New Roman"/>
          <w:szCs w:val="28"/>
          <w:lang w:eastAsia="ru-RU"/>
        </w:rPr>
      </w:pPr>
      <w:r>
        <w:rPr>
          <w:noProof/>
        </w:rPr>
        <w:drawing>
          <wp:inline distT="0" distB="0" distL="0" distR="0" wp14:anchorId="5CC0ADFF" wp14:editId="4DBCC13A">
            <wp:extent cx="1674495" cy="469265"/>
            <wp:effectExtent l="0" t="0" r="1905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448"/>
        <w:gridCol w:w="7663"/>
      </w:tblGrid>
      <w:tr w:rsidR="00D225D6" w:rsidRPr="00D225D6" w14:paraId="30398A5F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5DC4C6" w14:textId="77777777" w:rsidR="00D225D6" w:rsidRPr="00D225D6" w:rsidRDefault="00D225D6" w:rsidP="00D225D6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17" w:name="n33"/>
            <w:bookmarkStart w:id="18" w:name="n234"/>
            <w:bookmarkEnd w:id="17"/>
            <w:bookmarkEnd w:id="18"/>
            <w:r w:rsidRPr="00D225D6">
              <w:rPr>
                <w:rFonts w:eastAsia="Times New Roman" w:cs="Times New Roman"/>
                <w:szCs w:val="28"/>
                <w:lang w:eastAsia="ru-RU"/>
              </w:rPr>
              <w:lastRenderedPageBreak/>
              <w:t>де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952C9A7" w14:textId="31CAA91F" w:rsidR="00D225D6" w:rsidRPr="00D225D6" w:rsidRDefault="00B91014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2E6B73D6" wp14:editId="481FED63">
                  <wp:extent cx="623454" cy="321326"/>
                  <wp:effectExtent l="0" t="0" r="5715" b="254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111" cy="340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80EF0D2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розмір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погодинної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плати;</w:t>
            </w:r>
          </w:p>
        </w:tc>
      </w:tr>
      <w:tr w:rsidR="00D225D6" w:rsidRPr="00D225D6" w14:paraId="685F5D3A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A7E2F70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5EE95C2" w14:textId="77777777" w:rsidR="00D225D6" w:rsidRPr="00D225D6" w:rsidRDefault="00D225D6" w:rsidP="00D225D6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>Х</w:t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CF4048C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кількість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днів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у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місяці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фактичного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користування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</w:tbl>
    <w:p w14:paraId="2D886957" w14:textId="77777777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9" w:name="n36"/>
      <w:bookmarkEnd w:id="19"/>
      <w:r w:rsidRPr="00D225D6">
        <w:rPr>
          <w:rFonts w:eastAsia="Times New Roman" w:cs="Times New Roman"/>
          <w:szCs w:val="28"/>
          <w:lang w:eastAsia="ru-RU"/>
        </w:rPr>
        <w:t xml:space="preserve">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коли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погодинна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припадає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вихідний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святковий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день,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такі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нараховується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повну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добу.</w:t>
      </w:r>
    </w:p>
    <w:p w14:paraId="653DFE54" w14:textId="0BE2BFE4" w:rsid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0" w:name="n37"/>
      <w:bookmarkEnd w:id="20"/>
      <w:r w:rsidRPr="00D225D6">
        <w:rPr>
          <w:rFonts w:eastAsia="Times New Roman" w:cs="Times New Roman"/>
          <w:szCs w:val="28"/>
          <w:lang w:eastAsia="ru-RU"/>
        </w:rPr>
        <w:t xml:space="preserve">10.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річної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єдині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майнові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комплекси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їх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відокремлені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структурні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підрозділи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визначається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формулою:</w:t>
      </w:r>
    </w:p>
    <w:p w14:paraId="14E847E7" w14:textId="107DEE78" w:rsidR="00B91014" w:rsidRPr="00D225D6" w:rsidRDefault="00B91014" w:rsidP="00B91014">
      <w:pPr>
        <w:shd w:val="clear" w:color="auto" w:fill="FFFFFF"/>
        <w:spacing w:after="0"/>
        <w:ind w:firstLine="450"/>
        <w:jc w:val="center"/>
        <w:rPr>
          <w:rFonts w:eastAsia="Times New Roman" w:cs="Times New Roman"/>
          <w:szCs w:val="28"/>
          <w:lang w:eastAsia="ru-RU"/>
        </w:rPr>
      </w:pPr>
      <w:r>
        <w:rPr>
          <w:noProof/>
        </w:rPr>
        <w:drawing>
          <wp:inline distT="0" distB="0" distL="0" distR="0" wp14:anchorId="1142A4B1" wp14:editId="0D2646FC">
            <wp:extent cx="1906270" cy="42735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42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263"/>
        <w:gridCol w:w="7844"/>
      </w:tblGrid>
      <w:tr w:rsidR="00D225D6" w:rsidRPr="00D225D6" w14:paraId="35CD7F08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652C08C" w14:textId="77777777" w:rsidR="00D225D6" w:rsidRPr="00D225D6" w:rsidRDefault="00D225D6" w:rsidP="00D225D6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21" w:name="n38"/>
            <w:bookmarkStart w:id="22" w:name="n236"/>
            <w:bookmarkEnd w:id="21"/>
            <w:bookmarkEnd w:id="22"/>
            <w:r w:rsidRPr="00D225D6">
              <w:rPr>
                <w:rFonts w:eastAsia="Times New Roman" w:cs="Times New Roman"/>
                <w:szCs w:val="28"/>
                <w:lang w:eastAsia="ru-RU"/>
              </w:rPr>
              <w:t>де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FB18123" w14:textId="390D3D38" w:rsidR="00D225D6" w:rsidRPr="00D225D6" w:rsidRDefault="0010352B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129B4C4" wp14:editId="47D6E10E">
                  <wp:extent cx="444335" cy="314696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561" cy="320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7B42A74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розмір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річної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плати за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єдині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майнові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комплекси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їх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відокремлені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структурні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підрозділи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>, гривень;</w:t>
            </w:r>
          </w:p>
        </w:tc>
      </w:tr>
      <w:tr w:rsidR="00D225D6" w:rsidRPr="00D225D6" w14:paraId="5C73ECC8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78F160C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74D906B" w14:textId="4B42E67A" w:rsidR="00D225D6" w:rsidRPr="00D225D6" w:rsidRDefault="0010352B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52B71A00" wp14:editId="2D8E0D6B">
                  <wp:extent cx="368135" cy="358003"/>
                  <wp:effectExtent l="0" t="0" r="0" b="444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750" cy="373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AA2C58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вартість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основних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засобів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за незалежною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оцінкою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на дату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оцінки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об’єкта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оренди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(без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урахування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податку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на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додану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вартість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>), гривень;</w:t>
            </w:r>
          </w:p>
        </w:tc>
      </w:tr>
      <w:tr w:rsidR="00D225D6" w:rsidRPr="00D225D6" w14:paraId="2CEA5873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64F9310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5C9C7EC" w14:textId="3CBA2CA7" w:rsidR="00D225D6" w:rsidRPr="00D225D6" w:rsidRDefault="0010352B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305EFCD" wp14:editId="7849E292">
                  <wp:extent cx="424532" cy="332509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252" cy="34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076CEA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вартість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нематеріальних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активів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за незалежною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оцінкою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на дату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оцінки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об’єкта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оренди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(без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урахування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податку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на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додану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вартість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>), гривень;</w:t>
            </w:r>
          </w:p>
        </w:tc>
      </w:tr>
      <w:tr w:rsidR="00D225D6" w:rsidRPr="00D225D6" w14:paraId="47F89356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5500EF7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B5AF5BE" w14:textId="319CA5CA" w:rsidR="00D225D6" w:rsidRPr="00D225D6" w:rsidRDefault="0010352B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63A2AAB1" wp14:editId="21770E8D">
                  <wp:extent cx="389870" cy="302820"/>
                  <wp:effectExtent l="0" t="0" r="0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00" cy="308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B9255F6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орендна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ставка за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використання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об’єкта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оренди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визначена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згідно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з </w:t>
            </w:r>
            <w:proofErr w:type="spellStart"/>
            <w:r>
              <w:fldChar w:fldCharType="begin"/>
            </w:r>
            <w:r>
              <w:instrText>HYPERLINK "https://zakon.rada.gov.ua/laws/show/630-2021-%D0%BF/print" \l "n79"</w:instrText>
            </w:r>
            <w:r>
              <w:fldChar w:fldCharType="separate"/>
            </w:r>
            <w:r w:rsidRPr="00D225D6">
              <w:rPr>
                <w:rFonts w:eastAsia="Times New Roman" w:cs="Times New Roman"/>
                <w:szCs w:val="28"/>
                <w:lang w:eastAsia="ru-RU"/>
              </w:rPr>
              <w:t>додатком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2</w:t>
            </w:r>
            <w:r>
              <w:fldChar w:fldCharType="end"/>
            </w:r>
            <w:r w:rsidRPr="00D225D6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</w:tbl>
    <w:p w14:paraId="26392355" w14:textId="1EA58F8F" w:rsidR="00D225D6" w:rsidRDefault="00122C5C" w:rsidP="00122C5C">
      <w:pPr>
        <w:shd w:val="clear" w:color="auto" w:fill="FFFFFF"/>
        <w:spacing w:after="0"/>
        <w:rPr>
          <w:rFonts w:eastAsia="Times New Roman" w:cs="Times New Roman"/>
          <w:szCs w:val="28"/>
          <w:lang w:val="uk-UA" w:eastAsia="ru-RU"/>
        </w:rPr>
      </w:pPr>
      <w:bookmarkStart w:id="23" w:name="n241"/>
      <w:bookmarkEnd w:id="23"/>
      <w:r>
        <w:rPr>
          <w:rFonts w:eastAsia="Times New Roman" w:cs="Times New Roman"/>
          <w:szCs w:val="28"/>
          <w:lang w:val="uk-UA" w:eastAsia="ru-RU"/>
        </w:rPr>
        <w:t xml:space="preserve">      </w:t>
      </w:r>
      <w:r w:rsidR="00D225D6" w:rsidRPr="002230B8">
        <w:rPr>
          <w:rFonts w:eastAsia="Times New Roman" w:cs="Times New Roman"/>
          <w:szCs w:val="28"/>
          <w:lang w:val="uk-UA" w:eastAsia="ru-RU"/>
        </w:rPr>
        <w:t>11. Розмір орендної плати за базовий місяць оренди за єдині майнові комплекси, їх відокремлені структурні підрозділи визначається за формулою:</w:t>
      </w:r>
    </w:p>
    <w:p w14:paraId="50812BE0" w14:textId="3EA09857" w:rsidR="00EC47FE" w:rsidRPr="002230B8" w:rsidRDefault="00EC47FE" w:rsidP="00EC47FE">
      <w:pPr>
        <w:shd w:val="clear" w:color="auto" w:fill="FFFFFF"/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>
        <w:rPr>
          <w:noProof/>
        </w:rPr>
        <w:drawing>
          <wp:inline distT="0" distB="0" distL="0" distR="0" wp14:anchorId="0EEE8BB3" wp14:editId="1CDBFDB4">
            <wp:extent cx="1561465" cy="439420"/>
            <wp:effectExtent l="0" t="0" r="63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1367"/>
        <w:gridCol w:w="7734"/>
      </w:tblGrid>
      <w:tr w:rsidR="00D225D6" w:rsidRPr="00D225D6" w14:paraId="1559AD07" w14:textId="77777777" w:rsidTr="00D225D6">
        <w:trPr>
          <w:jc w:val="center"/>
        </w:trPr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90D4C97" w14:textId="77777777" w:rsidR="00D225D6" w:rsidRPr="00D225D6" w:rsidRDefault="00D225D6" w:rsidP="00D225D6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24" w:name="n44"/>
            <w:bookmarkStart w:id="25" w:name="n238"/>
            <w:bookmarkEnd w:id="24"/>
            <w:bookmarkEnd w:id="25"/>
            <w:r w:rsidRPr="00D225D6">
              <w:rPr>
                <w:rFonts w:eastAsia="Times New Roman" w:cs="Times New Roman"/>
                <w:szCs w:val="28"/>
                <w:lang w:eastAsia="ru-RU"/>
              </w:rPr>
              <w:t>де</w:t>
            </w:r>
          </w:p>
        </w:tc>
        <w:tc>
          <w:tcPr>
            <w:tcW w:w="23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403F75" w14:textId="3197CD92" w:rsidR="00D225D6" w:rsidRPr="00D225D6" w:rsidRDefault="0035333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35A77318" wp14:editId="0FB7ADBC">
                  <wp:extent cx="528452" cy="308610"/>
                  <wp:effectExtent l="0" t="0" r="508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319" cy="313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CF360F" w14:textId="77777777" w:rsidR="00D225D6" w:rsidRPr="00D225D6" w:rsidRDefault="00D225D6" w:rsidP="00D225D6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-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розмір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місячної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орендної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плати,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визначений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за </w:t>
            </w:r>
            <w:proofErr w:type="spellStart"/>
            <w:r w:rsidRPr="00D225D6">
              <w:rPr>
                <w:rFonts w:eastAsia="Times New Roman" w:cs="Times New Roman"/>
                <w:szCs w:val="28"/>
                <w:lang w:eastAsia="ru-RU"/>
              </w:rPr>
              <w:t>цією</w:t>
            </w:r>
            <w:proofErr w:type="spellEnd"/>
            <w:r w:rsidRPr="00D225D6">
              <w:rPr>
                <w:rFonts w:eastAsia="Times New Roman" w:cs="Times New Roman"/>
                <w:szCs w:val="28"/>
                <w:lang w:eastAsia="ru-RU"/>
              </w:rPr>
              <w:t xml:space="preserve"> Методикою, гривень.</w:t>
            </w:r>
          </w:p>
        </w:tc>
      </w:tr>
    </w:tbl>
    <w:p w14:paraId="2C4F9546" w14:textId="77777777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6" w:name="n46"/>
      <w:bookmarkEnd w:id="26"/>
      <w:r w:rsidRPr="00D225D6">
        <w:rPr>
          <w:rFonts w:eastAsia="Times New Roman" w:cs="Times New Roman"/>
          <w:szCs w:val="28"/>
          <w:lang w:eastAsia="ru-RU"/>
        </w:rPr>
        <w:t xml:space="preserve">Форма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розрахунку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наведена у </w:t>
      </w:r>
      <w:proofErr w:type="spellStart"/>
      <w:r>
        <w:fldChar w:fldCharType="begin"/>
      </w:r>
      <w:r>
        <w:instrText>HYPERLINK "https://zakon.rada.gov.ua/laws/show/630-2021-%D0%BF/print" \l "n84"</w:instrText>
      </w:r>
      <w:r>
        <w:fldChar w:fldCharType="separate"/>
      </w:r>
      <w:r w:rsidRPr="00D225D6">
        <w:rPr>
          <w:rFonts w:eastAsia="Times New Roman" w:cs="Times New Roman"/>
          <w:szCs w:val="28"/>
          <w:lang w:eastAsia="ru-RU"/>
        </w:rPr>
        <w:t>додатку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3</w:t>
      </w:r>
      <w:r>
        <w:fldChar w:fldCharType="end"/>
      </w:r>
      <w:r w:rsidRPr="00D225D6">
        <w:rPr>
          <w:rFonts w:eastAsia="Times New Roman" w:cs="Times New Roman"/>
          <w:szCs w:val="28"/>
          <w:lang w:eastAsia="ru-RU"/>
        </w:rPr>
        <w:t>.</w:t>
      </w:r>
    </w:p>
    <w:p w14:paraId="041E6CF5" w14:textId="4E344D5C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7" w:name="n47"/>
      <w:bookmarkEnd w:id="27"/>
      <w:proofErr w:type="spellStart"/>
      <w:r w:rsidRPr="00D225D6">
        <w:rPr>
          <w:rFonts w:eastAsia="Times New Roman" w:cs="Times New Roman"/>
          <w:szCs w:val="28"/>
          <w:lang w:eastAsia="ru-RU"/>
        </w:rPr>
        <w:t>Якщо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між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датою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і датою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підписання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акта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приймання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-переда</w:t>
      </w:r>
      <w:proofErr w:type="spellStart"/>
      <w:r w:rsidR="00EF01A7">
        <w:rPr>
          <w:rFonts w:eastAsia="Times New Roman" w:cs="Times New Roman"/>
          <w:szCs w:val="28"/>
          <w:lang w:val="uk-UA" w:eastAsia="ru-RU"/>
        </w:rPr>
        <w:t>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минуло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більше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ніж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один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повний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календарний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перший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встановлюється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шляхом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коригування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індекс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інфляції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місяцях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минули з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дати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.</w:t>
      </w:r>
    </w:p>
    <w:p w14:paraId="1E46B445" w14:textId="77777777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8" w:name="n48"/>
      <w:bookmarkEnd w:id="28"/>
      <w:r w:rsidRPr="00D225D6">
        <w:rPr>
          <w:rFonts w:eastAsia="Times New Roman" w:cs="Times New Roman"/>
          <w:szCs w:val="28"/>
          <w:lang w:eastAsia="ru-RU"/>
        </w:rPr>
        <w:t xml:space="preserve">12.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Результати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незалежної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оцінки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чинні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протягом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12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дати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оцінки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якщо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інший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строк не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передбачено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звіті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про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оцінку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майна.</w:t>
      </w:r>
    </w:p>
    <w:p w14:paraId="6BFA6218" w14:textId="58F7DDEB" w:rsidR="00AC5D66" w:rsidRPr="002126D9" w:rsidRDefault="00D225D6" w:rsidP="00B00D9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bookmarkStart w:id="29" w:name="n49"/>
      <w:bookmarkStart w:id="30" w:name="_Hlk210729797"/>
      <w:bookmarkEnd w:id="29"/>
      <w:r w:rsidRPr="002126D9">
        <w:rPr>
          <w:rFonts w:eastAsia="Times New Roman" w:cs="Times New Roman"/>
          <w:szCs w:val="28"/>
          <w:lang w:eastAsia="ru-RU"/>
        </w:rPr>
        <w:t xml:space="preserve">13. </w:t>
      </w:r>
      <w:r w:rsidR="00AC5D66"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Місячна орендна плата за оренду нерухомого майна у розмірі 1 гривня за 1 </w:t>
      </w:r>
      <w:proofErr w:type="spellStart"/>
      <w:r w:rsidR="00AC5D66"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>кв</w:t>
      </w:r>
      <w:proofErr w:type="spellEnd"/>
      <w:r w:rsidR="00AC5D66"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>. метр площі встановлюється таким орендарям:</w:t>
      </w:r>
    </w:p>
    <w:p w14:paraId="22B96E8F" w14:textId="2145CF96" w:rsidR="00A523CE" w:rsidRDefault="002126D9" w:rsidP="00AC5D66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органам державної влади, </w:t>
      </w:r>
      <w:r w:rsidR="00A523CE"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>бюджетним організаціям (установа</w:t>
      </w:r>
      <w:r w:rsidR="00B70C91">
        <w:rPr>
          <w:rFonts w:eastAsia="Times New Roman" w:cs="Times New Roman"/>
          <w:color w:val="000000" w:themeColor="text1"/>
          <w:szCs w:val="28"/>
          <w:lang w:val="uk-UA" w:eastAsia="ru-RU"/>
        </w:rPr>
        <w:t>м</w:t>
      </w:r>
      <w:r w:rsidR="00A523CE"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>, заклад</w:t>
      </w:r>
      <w:r w:rsidR="00B70C91">
        <w:rPr>
          <w:rFonts w:eastAsia="Times New Roman" w:cs="Times New Roman"/>
          <w:color w:val="000000" w:themeColor="text1"/>
          <w:szCs w:val="28"/>
          <w:lang w:val="uk-UA" w:eastAsia="ru-RU"/>
        </w:rPr>
        <w:t>ам</w:t>
      </w:r>
      <w:r w:rsidR="00A523CE"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>), які повністю утримуються за рахунок державного чи місцевого бюджету (крім обласного бюджету) або частково за рахунок обласного бюджету;</w:t>
      </w:r>
    </w:p>
    <w:p w14:paraId="3C87E3B8" w14:textId="07ACB6D3" w:rsidR="002126D9" w:rsidRDefault="002126D9" w:rsidP="00AC5D66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>органам місцевого самоврядування для розміщення центрів надання адміністративних послуг;</w:t>
      </w:r>
    </w:p>
    <w:p w14:paraId="7F0D6BEE" w14:textId="6C553D87" w:rsidR="009840B3" w:rsidRDefault="009840B3" w:rsidP="00AC5D66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highlight w:val="yellow"/>
          <w:lang w:val="uk-UA" w:eastAsia="ru-RU"/>
        </w:rPr>
      </w:pPr>
      <w:r w:rsidRPr="009840B3">
        <w:rPr>
          <w:rFonts w:eastAsia="Times New Roman" w:cs="Times New Roman"/>
          <w:color w:val="000000" w:themeColor="text1"/>
          <w:szCs w:val="28"/>
          <w:lang w:val="uk-UA" w:eastAsia="ru-RU"/>
        </w:rPr>
        <w:t>Пенсійному фонду України та його органам, Державному центру зайнятості та його органам;</w:t>
      </w:r>
    </w:p>
    <w:p w14:paraId="78189047" w14:textId="65BE15F7" w:rsidR="00A523CE" w:rsidRDefault="00A523CE" w:rsidP="00AC5D66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lastRenderedPageBreak/>
        <w:t xml:space="preserve">комунальним закладам охорони здоров’я, які повністю утримуються за рахунок </w:t>
      </w:r>
      <w:r w:rsidR="00AE6C1B">
        <w:rPr>
          <w:rFonts w:eastAsia="Times New Roman" w:cs="Times New Roman"/>
          <w:color w:val="000000" w:themeColor="text1"/>
          <w:szCs w:val="28"/>
          <w:lang w:val="uk-UA" w:eastAsia="ru-RU"/>
        </w:rPr>
        <w:t>обласн</w:t>
      </w:r>
      <w:r w:rsidR="00B70C91">
        <w:rPr>
          <w:rFonts w:eastAsia="Times New Roman" w:cs="Times New Roman"/>
          <w:color w:val="000000" w:themeColor="text1"/>
          <w:szCs w:val="28"/>
          <w:lang w:val="uk-UA" w:eastAsia="ru-RU"/>
        </w:rPr>
        <w:t>ого</w:t>
      </w:r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бюджет</w:t>
      </w:r>
      <w:r w:rsidR="00B70C91">
        <w:rPr>
          <w:rFonts w:eastAsia="Times New Roman" w:cs="Times New Roman"/>
          <w:color w:val="000000" w:themeColor="text1"/>
          <w:szCs w:val="28"/>
          <w:lang w:val="uk-UA" w:eastAsia="ru-RU"/>
        </w:rPr>
        <w:t>у</w:t>
      </w:r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, </w:t>
      </w:r>
      <w:r w:rsidR="00135155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а </w:t>
      </w:r>
      <w:r w:rsidR="00135155" w:rsidRPr="00135155">
        <w:rPr>
          <w:rFonts w:eastAsia="Times New Roman" w:cs="Times New Roman"/>
          <w:color w:val="000000" w:themeColor="text1"/>
          <w:szCs w:val="28"/>
          <w:lang w:val="uk-UA" w:eastAsia="ru-RU"/>
        </w:rPr>
        <w:t>та</w:t>
      </w:r>
      <w:r w:rsidR="00135155">
        <w:rPr>
          <w:rFonts w:eastAsia="Times New Roman" w:cs="Times New Roman"/>
          <w:color w:val="000000" w:themeColor="text1"/>
          <w:szCs w:val="28"/>
          <w:lang w:val="uk-UA" w:eastAsia="ru-RU"/>
        </w:rPr>
        <w:t>кож</w:t>
      </w:r>
      <w:r w:rsidR="00135155" w:rsidRPr="00135155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комунальні некомерційні підприємства, що утворилися у результаті реорганізації комунальних закладів охорони здоров’я</w:t>
      </w:r>
      <w:r w:rsidR="00B70C91">
        <w:rPr>
          <w:rFonts w:eastAsia="Times New Roman" w:cs="Times New Roman"/>
          <w:color w:val="000000" w:themeColor="text1"/>
          <w:szCs w:val="28"/>
          <w:lang w:val="uk-UA" w:eastAsia="ru-RU"/>
        </w:rPr>
        <w:t>;</w:t>
      </w:r>
    </w:p>
    <w:p w14:paraId="4F129316" w14:textId="77777777" w:rsidR="009840B3" w:rsidRPr="009840B3" w:rsidRDefault="009840B3" w:rsidP="009840B3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9840B3">
        <w:rPr>
          <w:rFonts w:eastAsia="Times New Roman" w:cs="Times New Roman"/>
          <w:color w:val="000000" w:themeColor="text1"/>
          <w:szCs w:val="28"/>
          <w:lang w:val="uk-UA" w:eastAsia="ru-RU"/>
        </w:rPr>
        <w:t>Національному банку щодо майна, яке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власність,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обігу;</w:t>
      </w:r>
    </w:p>
    <w:p w14:paraId="30038BC1" w14:textId="2125F033" w:rsidR="009840B3" w:rsidRDefault="009840B3" w:rsidP="009840B3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highlight w:val="yellow"/>
          <w:lang w:val="uk-UA" w:eastAsia="ru-RU"/>
        </w:rPr>
      </w:pPr>
      <w:r w:rsidRPr="009840B3">
        <w:rPr>
          <w:rFonts w:eastAsia="Times New Roman" w:cs="Times New Roman"/>
          <w:color w:val="000000" w:themeColor="text1"/>
          <w:szCs w:val="28"/>
          <w:lang w:val="uk-UA" w:eastAsia="ru-RU"/>
        </w:rPr>
        <w:t>казенним підприємствам, що утворилися у результаті реорганізації державного закладу охорони здоров’я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;</w:t>
      </w:r>
    </w:p>
    <w:p w14:paraId="69ACE23B" w14:textId="2A8F5EA0" w:rsidR="0087111A" w:rsidRPr="005A185B" w:rsidRDefault="0087111A" w:rsidP="00BF0BF1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5A185B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редакціям державних і комунальних періодичних видань, які повністю або частково фінансуються з державного або місцевих бюджетів, або заснованих об’єднаннями громадян, державними науково-дослідними установами, трудовими і журналістськими колективами, а також реформованим друкованим медіа та редакціям відповідно до Закону України </w:t>
      </w:r>
      <w:r w:rsidR="005F47F7">
        <w:rPr>
          <w:rFonts w:eastAsia="Times New Roman" w:cs="Times New Roman"/>
          <w:color w:val="000000" w:themeColor="text1"/>
          <w:szCs w:val="28"/>
          <w:lang w:val="uk-UA" w:eastAsia="ru-RU"/>
        </w:rPr>
        <w:t>«</w:t>
      </w:r>
      <w:r w:rsidRPr="005A185B">
        <w:rPr>
          <w:rFonts w:eastAsia="Times New Roman" w:cs="Times New Roman"/>
          <w:color w:val="000000" w:themeColor="text1"/>
          <w:szCs w:val="28"/>
          <w:lang w:val="uk-UA" w:eastAsia="ru-RU"/>
        </w:rPr>
        <w:t>Про реформування державних і комунальних друкованих медіа</w:t>
      </w:r>
      <w:r w:rsidR="005F47F7">
        <w:rPr>
          <w:rFonts w:eastAsia="Times New Roman" w:cs="Times New Roman"/>
          <w:color w:val="000000" w:themeColor="text1"/>
          <w:szCs w:val="28"/>
          <w:lang w:val="uk-UA" w:eastAsia="ru-RU"/>
        </w:rPr>
        <w:t>»</w:t>
      </w:r>
      <w:r w:rsidRPr="005A185B">
        <w:rPr>
          <w:rFonts w:eastAsia="Times New Roman" w:cs="Times New Roman"/>
          <w:color w:val="000000" w:themeColor="text1"/>
          <w:szCs w:val="28"/>
          <w:lang w:val="uk-UA" w:eastAsia="ru-RU"/>
        </w:rPr>
        <w:t>;</w:t>
      </w:r>
    </w:p>
    <w:p w14:paraId="295E696A" w14:textId="0E7CED6B" w:rsidR="00BF0BF1" w:rsidRPr="00BF0BF1" w:rsidRDefault="00BF0BF1" w:rsidP="00BF0BF1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BF0BF1">
        <w:rPr>
          <w:rFonts w:eastAsia="Times New Roman" w:cs="Times New Roman"/>
          <w:color w:val="000000" w:themeColor="text1"/>
          <w:szCs w:val="28"/>
          <w:lang w:val="uk-UA" w:eastAsia="ru-RU"/>
        </w:rPr>
        <w:t>музеям, які повністю фінансуються за рахунок обласного бюджету;</w:t>
      </w:r>
    </w:p>
    <w:p w14:paraId="554F7CFB" w14:textId="7429650D" w:rsidR="00BF0BF1" w:rsidRDefault="00BF0BF1" w:rsidP="00BF0BF1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highlight w:val="yellow"/>
          <w:lang w:val="uk-UA" w:eastAsia="ru-RU"/>
        </w:rPr>
      </w:pPr>
      <w:r w:rsidRPr="00BF0BF1">
        <w:rPr>
          <w:rFonts w:eastAsia="Times New Roman" w:cs="Times New Roman"/>
          <w:color w:val="000000" w:themeColor="text1"/>
          <w:szCs w:val="28"/>
          <w:lang w:val="uk-UA" w:eastAsia="ru-RU"/>
        </w:rPr>
        <w:t>Товариству Червоного Хреста України та його місцевими організаціям</w:t>
      </w:r>
      <w:r w:rsidR="00B70C91">
        <w:rPr>
          <w:rFonts w:eastAsia="Times New Roman" w:cs="Times New Roman"/>
          <w:color w:val="000000" w:themeColor="text1"/>
          <w:szCs w:val="28"/>
          <w:lang w:val="uk-UA" w:eastAsia="ru-RU"/>
        </w:rPr>
        <w:t>;</w:t>
      </w:r>
    </w:p>
    <w:p w14:paraId="090781A2" w14:textId="59C2B66F" w:rsidR="00BF0BF1" w:rsidRPr="00A523CE" w:rsidRDefault="00B66FB6" w:rsidP="00A523CE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закладам освіти </w:t>
      </w:r>
      <w:r w:rsidR="00941047"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>державної та комунальної форми власності</w:t>
      </w:r>
      <w:r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, що мають ліцензію на провадження освітньої діяльності </w:t>
      </w:r>
      <w:r w:rsidR="00941047"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>та утримуються за рахунок коштів державного або місцевого бюджету</w:t>
      </w:r>
      <w:r w:rsidR="00941047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(крім тих, що</w:t>
      </w:r>
      <w:r w:rsidRPr="00B66FB6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утримуються за рахунок обласного бюджету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)</w:t>
      </w:r>
      <w:r w:rsidR="00941047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та закладам </w:t>
      </w:r>
      <w:r w:rsidRPr="00B66FB6">
        <w:rPr>
          <w:rFonts w:eastAsia="Times New Roman" w:cs="Times New Roman"/>
          <w:color w:val="000000" w:themeColor="text1"/>
          <w:szCs w:val="28"/>
          <w:lang w:val="uk-UA" w:eastAsia="ru-RU"/>
        </w:rPr>
        <w:t>культури, фізичної культури і спорту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, що утримуються за рахунок коштів державного або місцевого бюджету</w:t>
      </w:r>
      <w:r w:rsidR="00997469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</w:t>
      </w:r>
      <w:r w:rsidR="002126D9"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>(крім тих, що утримуються за рахунок обласного бюджету)</w:t>
      </w:r>
      <w:r w:rsidR="005F47F7">
        <w:rPr>
          <w:rFonts w:eastAsia="Times New Roman" w:cs="Times New Roman"/>
          <w:color w:val="000000" w:themeColor="text1"/>
          <w:szCs w:val="28"/>
          <w:lang w:val="uk-UA" w:eastAsia="ru-RU"/>
        </w:rPr>
        <w:t>;</w:t>
      </w:r>
    </w:p>
    <w:p w14:paraId="272C3E8B" w14:textId="6F3A1A9B" w:rsidR="00AC5D66" w:rsidRPr="002126D9" w:rsidRDefault="00AC5D6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>державн</w:t>
      </w:r>
      <w:r w:rsidR="00997469">
        <w:rPr>
          <w:rFonts w:eastAsia="Times New Roman" w:cs="Times New Roman"/>
          <w:color w:val="000000" w:themeColor="text1"/>
          <w:szCs w:val="28"/>
          <w:lang w:val="uk-UA" w:eastAsia="ru-RU"/>
        </w:rPr>
        <w:t>им</w:t>
      </w:r>
      <w:r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та комунальн</w:t>
      </w:r>
      <w:r w:rsidR="00997469">
        <w:rPr>
          <w:rFonts w:eastAsia="Times New Roman" w:cs="Times New Roman"/>
          <w:color w:val="000000" w:themeColor="text1"/>
          <w:szCs w:val="28"/>
          <w:lang w:val="uk-UA" w:eastAsia="ru-RU"/>
        </w:rPr>
        <w:t>им</w:t>
      </w:r>
      <w:r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підприємства</w:t>
      </w:r>
      <w:r w:rsidR="00997469">
        <w:rPr>
          <w:rFonts w:eastAsia="Times New Roman" w:cs="Times New Roman"/>
          <w:color w:val="000000" w:themeColor="text1"/>
          <w:szCs w:val="28"/>
          <w:lang w:val="uk-UA" w:eastAsia="ru-RU"/>
        </w:rPr>
        <w:t>м</w:t>
      </w:r>
      <w:r w:rsidRPr="002126D9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для забезпечення тимчасового проживання внутрішньо переміщених осіб.</w:t>
      </w:r>
    </w:p>
    <w:p w14:paraId="538A081D" w14:textId="6F6CA9BE" w:rsidR="00A523CE" w:rsidRPr="00A523CE" w:rsidRDefault="00A523CE" w:rsidP="00A523CE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bookmarkStart w:id="31" w:name="n50"/>
      <w:bookmarkStart w:id="32" w:name="n52"/>
      <w:bookmarkStart w:id="33" w:name="n53"/>
      <w:bookmarkEnd w:id="31"/>
      <w:bookmarkEnd w:id="32"/>
      <w:bookmarkEnd w:id="33"/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Орендна плата у розмірі 1 гривні </w:t>
      </w:r>
      <w:r w:rsidR="00B00D9F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за квадратний метр </w:t>
      </w:r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>для орендарів, зазначених в абзаці</w:t>
      </w:r>
      <w:r w:rsidR="005F47F7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восьмому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</w:t>
      </w:r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>цього пункту, не застосовується у разі оренди нерухомого майна для розміщення засобів масової інформації:</w:t>
      </w:r>
    </w:p>
    <w:p w14:paraId="71662250" w14:textId="77777777" w:rsidR="00A523CE" w:rsidRPr="00A523CE" w:rsidRDefault="00A523CE" w:rsidP="00A523CE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>рекламного та еротичного характеру;</w:t>
      </w:r>
    </w:p>
    <w:p w14:paraId="763F58D6" w14:textId="77777777" w:rsidR="00A523CE" w:rsidRPr="00A523CE" w:rsidRDefault="00A523CE" w:rsidP="00A523CE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>заснованих в Україні міжнародними організаціями або за участю юридичних чи фізичних осіб інших держав, осіб без громадянства;</w:t>
      </w:r>
    </w:p>
    <w:p w14:paraId="773FFAA8" w14:textId="77777777" w:rsidR="00A523CE" w:rsidRPr="00A523CE" w:rsidRDefault="00A523CE" w:rsidP="00A523CE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>в яких понад 50 відсотків загального обсягу випуску становлять матеріали зарубіжних засобів масової інформації;</w:t>
      </w:r>
    </w:p>
    <w:p w14:paraId="33207FBD" w14:textId="34FA57E3" w:rsidR="00D225D6" w:rsidRDefault="00A523CE" w:rsidP="00A523CE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A523CE">
        <w:rPr>
          <w:rFonts w:eastAsia="Times New Roman" w:cs="Times New Roman"/>
          <w:color w:val="000000" w:themeColor="text1"/>
          <w:szCs w:val="28"/>
          <w:lang w:val="uk-UA" w:eastAsia="ru-RU"/>
        </w:rPr>
        <w:t>заснованих за участю юридичних або фізичних осіб, до сфери діяльності яких належить виробництво та постачання паперу, поліграфічного обладнання, технічних засобів мовлення.</w:t>
      </w:r>
    </w:p>
    <w:p w14:paraId="13C6AAB5" w14:textId="29BF249F" w:rsidR="00B00D9F" w:rsidRPr="00B00D9F" w:rsidRDefault="00B00D9F" w:rsidP="00B00D9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proofErr w:type="spellStart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>Річна</w:t>
      </w:r>
      <w:proofErr w:type="spellEnd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>орендна</w:t>
      </w:r>
      <w:proofErr w:type="spellEnd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 xml:space="preserve"> плата за </w:t>
      </w:r>
      <w:proofErr w:type="spellStart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>оренду</w:t>
      </w:r>
      <w:proofErr w:type="spellEnd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>нерухомого</w:t>
      </w:r>
      <w:proofErr w:type="spellEnd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 xml:space="preserve"> майна у </w:t>
      </w:r>
      <w:proofErr w:type="spellStart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>розмірі</w:t>
      </w:r>
      <w:proofErr w:type="spellEnd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 xml:space="preserve"> 1 </w:t>
      </w:r>
      <w:proofErr w:type="spellStart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>гривні</w:t>
      </w:r>
      <w:proofErr w:type="spellEnd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>встановлюється</w:t>
      </w:r>
      <w:proofErr w:type="spellEnd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 xml:space="preserve"> таким </w:t>
      </w:r>
      <w:proofErr w:type="spellStart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>орендарям</w:t>
      </w:r>
      <w:proofErr w:type="spellEnd"/>
      <w:r w:rsidRPr="00B00D9F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14:paraId="6ED7660A" w14:textId="77777777" w:rsidR="009840B3" w:rsidRPr="009840B3" w:rsidRDefault="009840B3" w:rsidP="009840B3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bookmarkStart w:id="34" w:name="n54"/>
      <w:bookmarkStart w:id="35" w:name="n55"/>
      <w:bookmarkStart w:id="36" w:name="n56"/>
      <w:bookmarkStart w:id="37" w:name="n57"/>
      <w:bookmarkStart w:id="38" w:name="n255"/>
      <w:bookmarkEnd w:id="30"/>
      <w:bookmarkEnd w:id="34"/>
      <w:bookmarkEnd w:id="35"/>
      <w:bookmarkEnd w:id="36"/>
      <w:bookmarkEnd w:id="37"/>
      <w:bookmarkEnd w:id="38"/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бюджетним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організаціям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, закладам,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установам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які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повністю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фінансуються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з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обласного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бюджету;</w:t>
      </w:r>
    </w:p>
    <w:p w14:paraId="072D0B38" w14:textId="2BB3A85A" w:rsidR="009840B3" w:rsidRPr="009840B3" w:rsidRDefault="009840B3" w:rsidP="009840B3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lastRenderedPageBreak/>
        <w:t xml:space="preserve">закладам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освіти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культури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фізичної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культури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і спорту,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що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утримуються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за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рахунок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>обласного</w:t>
      </w:r>
      <w:proofErr w:type="spellEnd"/>
      <w:r w:rsidRPr="009840B3">
        <w:rPr>
          <w:rFonts w:eastAsia="Times New Roman" w:cs="Times New Roman"/>
          <w:color w:val="000000" w:themeColor="text1"/>
          <w:szCs w:val="28"/>
          <w:lang w:eastAsia="ru-RU"/>
        </w:rPr>
        <w:t xml:space="preserve"> бюджету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.</w:t>
      </w:r>
    </w:p>
    <w:p w14:paraId="69257212" w14:textId="5A2CE3D3" w:rsidR="00D225D6" w:rsidRPr="00D225D6" w:rsidRDefault="00D225D6" w:rsidP="009840B3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D225D6">
        <w:rPr>
          <w:rFonts w:eastAsia="Times New Roman" w:cs="Times New Roman"/>
          <w:szCs w:val="28"/>
          <w:lang w:eastAsia="ru-RU"/>
        </w:rPr>
        <w:t>1</w:t>
      </w:r>
      <w:r w:rsidR="00122C5C">
        <w:rPr>
          <w:rFonts w:eastAsia="Times New Roman" w:cs="Times New Roman"/>
          <w:szCs w:val="28"/>
          <w:lang w:val="uk-UA" w:eastAsia="ru-RU"/>
        </w:rPr>
        <w:t>4</w:t>
      </w:r>
      <w:r w:rsidRPr="00D225D6">
        <w:rPr>
          <w:rFonts w:eastAsia="Times New Roman" w:cs="Times New Roman"/>
          <w:szCs w:val="28"/>
          <w:lang w:eastAsia="ru-RU"/>
        </w:rPr>
        <w:t xml:space="preserve">. </w:t>
      </w:r>
      <w:bookmarkStart w:id="39" w:name="n62"/>
      <w:bookmarkEnd w:id="39"/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річної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іншого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окремого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індивідуально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(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крім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транспортних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засобів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)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встановлюється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рівні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12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відсотків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об’єкта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.</w:t>
      </w:r>
    </w:p>
    <w:p w14:paraId="388047FB" w14:textId="77777777" w:rsidR="00403877" w:rsidRPr="00403877" w:rsidRDefault="00403877" w:rsidP="00403877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0" w:name="n63"/>
      <w:bookmarkStart w:id="41" w:name="n64"/>
      <w:bookmarkEnd w:id="40"/>
      <w:bookmarkEnd w:id="41"/>
      <w:proofErr w:type="spellStart"/>
      <w:r w:rsidRPr="00403877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річної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плати у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транспортних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засобів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встановлюється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рівні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>:</w:t>
      </w:r>
    </w:p>
    <w:p w14:paraId="2C564446" w14:textId="6B943B70" w:rsidR="00403877" w:rsidRPr="00403877" w:rsidRDefault="00403877" w:rsidP="00403877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403877">
        <w:rPr>
          <w:rFonts w:eastAsia="Times New Roman" w:cs="Times New Roman"/>
          <w:szCs w:val="28"/>
          <w:lang w:eastAsia="ru-RU"/>
        </w:rPr>
        <w:t xml:space="preserve">1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відсотка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об’єкта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органів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державної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влади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бюджетни</w:t>
      </w:r>
      <w:proofErr w:type="spellEnd"/>
      <w:r w:rsidR="00997469">
        <w:rPr>
          <w:rFonts w:eastAsia="Times New Roman" w:cs="Times New Roman"/>
          <w:szCs w:val="28"/>
          <w:lang w:val="uk-UA" w:eastAsia="ru-RU"/>
        </w:rPr>
        <w:t>м організаціям (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установ</w:t>
      </w:r>
      <w:r w:rsidR="00997469">
        <w:rPr>
          <w:rFonts w:eastAsia="Times New Roman" w:cs="Times New Roman"/>
          <w:szCs w:val="28"/>
          <w:lang w:val="uk-UA" w:eastAsia="ru-RU"/>
        </w:rPr>
        <w:t>ам</w:t>
      </w:r>
      <w:proofErr w:type="spellEnd"/>
      <w:r w:rsidR="00997469">
        <w:rPr>
          <w:rFonts w:eastAsia="Times New Roman" w:cs="Times New Roman"/>
          <w:szCs w:val="28"/>
          <w:lang w:val="uk-UA" w:eastAsia="ru-RU"/>
        </w:rPr>
        <w:t>, закладам),</w:t>
      </w:r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утримуються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рахунок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коштів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державного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місцевого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бюджету; </w:t>
      </w:r>
    </w:p>
    <w:p w14:paraId="2D549BCD" w14:textId="4A8E2F93" w:rsidR="00403877" w:rsidRDefault="00403877" w:rsidP="00403877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val="uk-UA" w:eastAsia="ru-RU"/>
        </w:rPr>
      </w:pPr>
      <w:r w:rsidRPr="00403877">
        <w:rPr>
          <w:rFonts w:eastAsia="Times New Roman" w:cs="Times New Roman"/>
          <w:szCs w:val="28"/>
          <w:lang w:eastAsia="ru-RU"/>
        </w:rPr>
        <w:t xml:space="preserve">10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відсотків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об’єкта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інших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03877">
        <w:rPr>
          <w:rFonts w:eastAsia="Times New Roman" w:cs="Times New Roman"/>
          <w:szCs w:val="28"/>
          <w:lang w:eastAsia="ru-RU"/>
        </w:rPr>
        <w:t>орендарів</w:t>
      </w:r>
      <w:proofErr w:type="spellEnd"/>
      <w:r w:rsidRPr="00403877">
        <w:rPr>
          <w:rFonts w:eastAsia="Times New Roman" w:cs="Times New Roman"/>
          <w:szCs w:val="28"/>
          <w:lang w:eastAsia="ru-RU"/>
        </w:rPr>
        <w:t>.</w:t>
      </w:r>
    </w:p>
    <w:p w14:paraId="046C6720" w14:textId="21073A4F" w:rsidR="00D225D6" w:rsidRPr="00D225D6" w:rsidRDefault="00D225D6" w:rsidP="00403877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D225D6">
        <w:rPr>
          <w:rFonts w:eastAsia="Times New Roman" w:cs="Times New Roman"/>
          <w:szCs w:val="28"/>
          <w:lang w:eastAsia="ru-RU"/>
        </w:rPr>
        <w:t xml:space="preserve">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коли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орендарем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є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суб’єкт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малого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підприємництва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річної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іншого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окремого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індивідуально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майна, у тому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числі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транспортних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засобів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становить 7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відсотків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об’єкта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.</w:t>
      </w:r>
    </w:p>
    <w:p w14:paraId="260138B0" w14:textId="651F71AE" w:rsidR="00B66FB6" w:rsidRDefault="00D225D6" w:rsidP="00B66FB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val="uk-UA" w:eastAsia="ru-RU"/>
        </w:rPr>
      </w:pPr>
      <w:bookmarkStart w:id="42" w:name="n65"/>
      <w:bookmarkEnd w:id="42"/>
      <w:proofErr w:type="spellStart"/>
      <w:r w:rsidRPr="00997469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річної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плати у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музичних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інструментів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встановлюється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згодою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сторін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але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не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менш</w:t>
      </w:r>
      <w:proofErr w:type="spellEnd"/>
      <w:r w:rsidR="005F47F7">
        <w:rPr>
          <w:rFonts w:eastAsia="Times New Roman" w:cs="Times New Roman"/>
          <w:szCs w:val="28"/>
          <w:lang w:val="uk-UA" w:eastAsia="ru-RU"/>
        </w:rPr>
        <w:t>е ніж</w:t>
      </w:r>
      <w:r w:rsidRPr="00997469">
        <w:rPr>
          <w:rFonts w:eastAsia="Times New Roman" w:cs="Times New Roman"/>
          <w:szCs w:val="28"/>
          <w:lang w:eastAsia="ru-RU"/>
        </w:rPr>
        <w:t xml:space="preserve"> 1,2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відсотка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об’єкта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учнів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студентів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закладів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вищої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освіти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та не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менш</w:t>
      </w:r>
      <w:proofErr w:type="spellEnd"/>
      <w:r w:rsidR="005F47F7">
        <w:rPr>
          <w:rFonts w:eastAsia="Times New Roman" w:cs="Times New Roman"/>
          <w:szCs w:val="28"/>
          <w:lang w:val="uk-UA" w:eastAsia="ru-RU"/>
        </w:rPr>
        <w:t>е</w:t>
      </w:r>
      <w:r w:rsidRPr="00997469">
        <w:rPr>
          <w:rFonts w:eastAsia="Times New Roman" w:cs="Times New Roman"/>
          <w:szCs w:val="28"/>
          <w:lang w:eastAsia="ru-RU"/>
        </w:rPr>
        <w:t xml:space="preserve"> </w:t>
      </w:r>
      <w:r w:rsidR="005F47F7">
        <w:rPr>
          <w:rFonts w:eastAsia="Times New Roman" w:cs="Times New Roman"/>
          <w:szCs w:val="28"/>
          <w:lang w:val="uk-UA" w:eastAsia="ru-RU"/>
        </w:rPr>
        <w:t>ніж</w:t>
      </w:r>
      <w:r w:rsidRPr="00997469">
        <w:rPr>
          <w:rFonts w:eastAsia="Times New Roman" w:cs="Times New Roman"/>
          <w:szCs w:val="28"/>
          <w:lang w:eastAsia="ru-RU"/>
        </w:rPr>
        <w:t xml:space="preserve"> 1,8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відсотка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орендованого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майна за результатами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такої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оцінки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- для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професійних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творчих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працівників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>.</w:t>
      </w:r>
    </w:p>
    <w:p w14:paraId="614E718F" w14:textId="1EE6B4B0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3" w:name="n66"/>
      <w:bookmarkEnd w:id="43"/>
      <w:r w:rsidRPr="00D225D6">
        <w:rPr>
          <w:rFonts w:eastAsia="Times New Roman" w:cs="Times New Roman"/>
          <w:szCs w:val="28"/>
          <w:lang w:eastAsia="ru-RU"/>
        </w:rPr>
        <w:t xml:space="preserve">15.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місячної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1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гривні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1 кв. метр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занедбаної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пам’ятки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архітектури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встановлюється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кваліфікованій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особі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визначеній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 </w:t>
      </w:r>
      <w:hyperlink r:id="rId26" w:anchor="n784" w:tgtFrame="_blank" w:history="1">
        <w:r w:rsidRPr="00473959">
          <w:rPr>
            <w:rFonts w:eastAsia="Times New Roman" w:cs="Times New Roman"/>
            <w:szCs w:val="28"/>
            <w:lang w:eastAsia="ru-RU"/>
          </w:rPr>
          <w:t>пунктом</w:t>
        </w:r>
        <w:r w:rsidR="006567DD">
          <w:rPr>
            <w:rFonts w:eastAsia="Times New Roman" w:cs="Times New Roman"/>
            <w:szCs w:val="28"/>
            <w:lang w:val="uk-UA" w:eastAsia="ru-RU"/>
          </w:rPr>
          <w:t xml:space="preserve"> </w:t>
        </w:r>
        <w:r w:rsidRPr="00473959">
          <w:rPr>
            <w:rFonts w:eastAsia="Times New Roman" w:cs="Times New Roman"/>
            <w:szCs w:val="28"/>
            <w:lang w:eastAsia="ru-RU"/>
          </w:rPr>
          <w:t>183</w:t>
        </w:r>
      </w:hyperlink>
      <w:r w:rsidRPr="00473959">
        <w:rPr>
          <w:rFonts w:eastAsia="Times New Roman" w:cs="Times New Roman"/>
          <w:szCs w:val="28"/>
          <w:lang w:eastAsia="ru-RU"/>
        </w:rPr>
        <w:t> </w:t>
      </w:r>
      <w:hyperlink r:id="rId27" w:anchor="n36" w:tgtFrame="_blank" w:history="1">
        <w:r w:rsidR="00473959" w:rsidRPr="00473959">
          <w:rPr>
            <w:rStyle w:val="a3"/>
            <w:rFonts w:eastAsia="Times New Roman" w:cs="Times New Roman"/>
            <w:color w:val="auto"/>
            <w:szCs w:val="28"/>
            <w:u w:val="none"/>
            <w:lang w:eastAsia="ru-RU"/>
          </w:rPr>
          <w:t xml:space="preserve">Порядку </w:t>
        </w:r>
        <w:proofErr w:type="spellStart"/>
        <w:r w:rsidR="00473959" w:rsidRPr="00473959">
          <w:rPr>
            <w:rStyle w:val="a3"/>
            <w:rFonts w:eastAsia="Times New Roman" w:cs="Times New Roman"/>
            <w:color w:val="auto"/>
            <w:szCs w:val="28"/>
            <w:u w:val="none"/>
            <w:lang w:eastAsia="ru-RU"/>
          </w:rPr>
          <w:t>передачі</w:t>
        </w:r>
        <w:proofErr w:type="spellEnd"/>
        <w:r w:rsidR="00473959" w:rsidRPr="00473959">
          <w:rPr>
            <w:rStyle w:val="a3"/>
            <w:rFonts w:eastAsia="Times New Roman" w:cs="Times New Roman"/>
            <w:color w:val="auto"/>
            <w:szCs w:val="28"/>
            <w:u w:val="none"/>
            <w:lang w:eastAsia="ru-RU"/>
          </w:rPr>
          <w:t xml:space="preserve"> в </w:t>
        </w:r>
        <w:proofErr w:type="spellStart"/>
        <w:r w:rsidR="00473959" w:rsidRPr="00473959">
          <w:rPr>
            <w:rStyle w:val="a3"/>
            <w:rFonts w:eastAsia="Times New Roman" w:cs="Times New Roman"/>
            <w:color w:val="auto"/>
            <w:szCs w:val="28"/>
            <w:u w:val="none"/>
            <w:lang w:eastAsia="ru-RU"/>
          </w:rPr>
          <w:t>оренду</w:t>
        </w:r>
        <w:proofErr w:type="spellEnd"/>
        <w:r w:rsidR="00473959" w:rsidRPr="00473959">
          <w:rPr>
            <w:rStyle w:val="a3"/>
            <w:rFonts w:eastAsia="Times New Roman" w:cs="Times New Roman"/>
            <w:color w:val="auto"/>
            <w:szCs w:val="28"/>
            <w:u w:val="none"/>
            <w:lang w:eastAsia="ru-RU"/>
          </w:rPr>
          <w:t xml:space="preserve"> державного та </w:t>
        </w:r>
        <w:proofErr w:type="spellStart"/>
        <w:r w:rsidR="00473959" w:rsidRPr="00473959">
          <w:rPr>
            <w:rStyle w:val="a3"/>
            <w:rFonts w:eastAsia="Times New Roman" w:cs="Times New Roman"/>
            <w:color w:val="auto"/>
            <w:szCs w:val="28"/>
            <w:u w:val="none"/>
            <w:lang w:eastAsia="ru-RU"/>
          </w:rPr>
          <w:t>комунального</w:t>
        </w:r>
        <w:proofErr w:type="spellEnd"/>
        <w:r w:rsidR="00473959" w:rsidRPr="00473959">
          <w:rPr>
            <w:rStyle w:val="a3"/>
            <w:rFonts w:eastAsia="Times New Roman" w:cs="Times New Roman"/>
            <w:color w:val="auto"/>
            <w:szCs w:val="28"/>
            <w:u w:val="none"/>
            <w:lang w:eastAsia="ru-RU"/>
          </w:rPr>
          <w:t xml:space="preserve"> майна</w:t>
        </w:r>
      </w:hyperlink>
      <w:r w:rsidR="00473959" w:rsidRPr="0047395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затвердженого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постановою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Кабінету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Міністрів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від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</w:t>
      </w:r>
      <w:r w:rsidR="005F47F7">
        <w:rPr>
          <w:rFonts w:eastAsia="Times New Roman" w:cs="Times New Roman"/>
          <w:szCs w:val="28"/>
          <w:lang w:val="uk-UA" w:eastAsia="ru-RU"/>
        </w:rPr>
        <w:t>0</w:t>
      </w:r>
      <w:r w:rsidR="00473959" w:rsidRPr="00473959">
        <w:rPr>
          <w:rFonts w:eastAsia="Times New Roman" w:cs="Times New Roman"/>
          <w:szCs w:val="28"/>
          <w:lang w:eastAsia="ru-RU"/>
        </w:rPr>
        <w:t>3 червня 2020 р</w:t>
      </w:r>
      <w:r w:rsidR="002B77C2">
        <w:rPr>
          <w:rFonts w:eastAsia="Times New Roman" w:cs="Times New Roman"/>
          <w:szCs w:val="28"/>
          <w:lang w:val="uk-UA" w:eastAsia="ru-RU"/>
        </w:rPr>
        <w:t>оку</w:t>
      </w:r>
      <w:r w:rsidR="00473959" w:rsidRPr="00473959">
        <w:rPr>
          <w:rFonts w:eastAsia="Times New Roman" w:cs="Times New Roman"/>
          <w:szCs w:val="28"/>
          <w:lang w:eastAsia="ru-RU"/>
        </w:rPr>
        <w:t xml:space="preserve"> № 483 </w:t>
      </w:r>
      <w:r w:rsidR="005F47F7">
        <w:rPr>
          <w:rFonts w:eastAsia="Times New Roman" w:cs="Times New Roman"/>
          <w:szCs w:val="28"/>
          <w:lang w:val="uk-UA" w:eastAsia="ru-RU"/>
        </w:rPr>
        <w:t>«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Деякі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питання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державного та 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комунального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майна</w:t>
      </w:r>
      <w:r w:rsidR="005F47F7">
        <w:rPr>
          <w:rFonts w:eastAsia="Times New Roman" w:cs="Times New Roman"/>
          <w:szCs w:val="28"/>
          <w:lang w:val="uk-UA" w:eastAsia="ru-RU"/>
        </w:rPr>
        <w:t>»</w:t>
      </w:r>
      <w:r w:rsidR="00473959" w:rsidRPr="00473959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="00473959" w:rsidRPr="00473959">
        <w:rPr>
          <w:rFonts w:eastAsia="Times New Roman" w:cs="Times New Roman"/>
          <w:szCs w:val="28"/>
          <w:lang w:eastAsia="ru-RU"/>
        </w:rPr>
        <w:t>далі</w:t>
      </w:r>
      <w:proofErr w:type="spellEnd"/>
      <w:r w:rsidR="00473959" w:rsidRPr="00473959">
        <w:rPr>
          <w:rFonts w:eastAsia="Times New Roman" w:cs="Times New Roman"/>
          <w:szCs w:val="28"/>
          <w:lang w:eastAsia="ru-RU"/>
        </w:rPr>
        <w:t xml:space="preserve"> - Порядок)</w:t>
      </w:r>
      <w:r w:rsidRPr="00473959">
        <w:rPr>
          <w:rFonts w:eastAsia="Times New Roman" w:cs="Times New Roman"/>
          <w:szCs w:val="28"/>
          <w:lang w:eastAsia="ru-RU"/>
        </w:rPr>
        <w:t>,</w:t>
      </w:r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підставі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орендодавця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прийнятого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 </w:t>
      </w:r>
      <w:r w:rsidRPr="00473959">
        <w:rPr>
          <w:rFonts w:eastAsia="Times New Roman" w:cs="Times New Roman"/>
          <w:szCs w:val="28"/>
          <w:lang w:eastAsia="ru-RU"/>
        </w:rPr>
        <w:t xml:space="preserve">пункту 191 Порядку,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орендарям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отримали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таку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пам’ятку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довгострокову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пільгову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оренду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473959">
        <w:rPr>
          <w:rFonts w:eastAsia="Times New Roman" w:cs="Times New Roman"/>
          <w:szCs w:val="28"/>
          <w:lang w:eastAsia="ru-RU"/>
        </w:rPr>
        <w:t>пунктів</w:t>
      </w:r>
      <w:proofErr w:type="spellEnd"/>
      <w:r w:rsidRPr="00473959">
        <w:rPr>
          <w:rFonts w:eastAsia="Times New Roman" w:cs="Times New Roman"/>
          <w:szCs w:val="28"/>
          <w:lang w:eastAsia="ru-RU"/>
        </w:rPr>
        <w:t xml:space="preserve"> 183-191 Порядку.</w:t>
      </w:r>
    </w:p>
    <w:p w14:paraId="19675FF5" w14:textId="180CA5CB" w:rsidR="00D225D6" w:rsidRPr="00997469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4" w:name="n67"/>
      <w:bookmarkEnd w:id="44"/>
      <w:r w:rsidRPr="00997469">
        <w:rPr>
          <w:rFonts w:eastAsia="Times New Roman" w:cs="Times New Roman"/>
          <w:szCs w:val="28"/>
          <w:lang w:eastAsia="ru-RU"/>
        </w:rPr>
        <w:t xml:space="preserve">16.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Встановлення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плати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здійснюється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урахуванням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вимог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> </w:t>
      </w:r>
      <w:hyperlink r:id="rId28" w:tgtFrame="_blank" w:history="1">
        <w:r w:rsidRPr="00997469">
          <w:rPr>
            <w:rFonts w:eastAsia="Times New Roman" w:cs="Times New Roman"/>
            <w:szCs w:val="28"/>
            <w:lang w:eastAsia="ru-RU"/>
          </w:rPr>
          <w:t xml:space="preserve">Закону </w:t>
        </w:r>
        <w:proofErr w:type="spellStart"/>
        <w:r w:rsidRPr="00997469">
          <w:rPr>
            <w:rFonts w:eastAsia="Times New Roman" w:cs="Times New Roman"/>
            <w:szCs w:val="28"/>
            <w:lang w:eastAsia="ru-RU"/>
          </w:rPr>
          <w:t>України</w:t>
        </w:r>
        <w:proofErr w:type="spellEnd"/>
      </w:hyperlink>
      <w:r w:rsidRPr="00997469">
        <w:rPr>
          <w:rFonts w:eastAsia="Times New Roman" w:cs="Times New Roman"/>
          <w:szCs w:val="28"/>
          <w:lang w:eastAsia="ru-RU"/>
        </w:rPr>
        <w:t> </w:t>
      </w:r>
      <w:r w:rsidR="008440CA">
        <w:rPr>
          <w:rFonts w:eastAsia="Times New Roman" w:cs="Times New Roman"/>
          <w:szCs w:val="28"/>
          <w:lang w:val="uk-UA" w:eastAsia="ru-RU"/>
        </w:rPr>
        <w:t>«</w:t>
      </w:r>
      <w:r w:rsidRPr="00997469">
        <w:rPr>
          <w:rFonts w:eastAsia="Times New Roman" w:cs="Times New Roman"/>
          <w:szCs w:val="28"/>
          <w:lang w:eastAsia="ru-RU"/>
        </w:rPr>
        <w:t xml:space="preserve">Про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державну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допомогу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суб’єктам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господарювання</w:t>
      </w:r>
      <w:proofErr w:type="spellEnd"/>
      <w:r w:rsidR="008440CA">
        <w:rPr>
          <w:rFonts w:eastAsia="Times New Roman" w:cs="Times New Roman"/>
          <w:szCs w:val="28"/>
          <w:lang w:val="uk-UA" w:eastAsia="ru-RU"/>
        </w:rPr>
        <w:t>»</w:t>
      </w:r>
      <w:r w:rsidRPr="00997469">
        <w:rPr>
          <w:rFonts w:eastAsia="Times New Roman" w:cs="Times New Roman"/>
          <w:szCs w:val="28"/>
          <w:lang w:eastAsia="ru-RU"/>
        </w:rPr>
        <w:t xml:space="preserve"> для:</w:t>
      </w:r>
    </w:p>
    <w:p w14:paraId="2DD8E7C9" w14:textId="77777777" w:rsidR="00D225D6" w:rsidRPr="00997469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5" w:name="n68"/>
      <w:bookmarkEnd w:id="45"/>
      <w:proofErr w:type="spellStart"/>
      <w:r w:rsidRPr="00997469">
        <w:rPr>
          <w:rFonts w:eastAsia="Times New Roman" w:cs="Times New Roman"/>
          <w:szCs w:val="28"/>
          <w:lang w:eastAsia="ru-RU"/>
        </w:rPr>
        <w:t>суб’єктів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господарювання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передбачених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> </w:t>
      </w:r>
      <w:proofErr w:type="spellStart"/>
      <w:r>
        <w:fldChar w:fldCharType="begin"/>
      </w:r>
      <w:r>
        <w:instrText>HYPERLINK "https://zakon.rada.gov.ua/laws/show/157-20" \l "n305" \t "_blank"</w:instrText>
      </w:r>
      <w:r>
        <w:fldChar w:fldCharType="separate"/>
      </w:r>
      <w:r w:rsidRPr="00997469">
        <w:rPr>
          <w:rFonts w:eastAsia="Times New Roman" w:cs="Times New Roman"/>
          <w:szCs w:val="28"/>
          <w:lang w:eastAsia="ru-RU"/>
        </w:rPr>
        <w:t>частиною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другою</w:t>
      </w:r>
      <w:r>
        <w:fldChar w:fldCharType="end"/>
      </w:r>
      <w:r w:rsidRPr="00997469">
        <w:rPr>
          <w:rFonts w:eastAsia="Times New Roman" w:cs="Times New Roman"/>
          <w:szCs w:val="28"/>
          <w:lang w:eastAsia="ru-RU"/>
        </w:rPr>
        <w:t> 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статті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15 Закону;</w:t>
      </w:r>
    </w:p>
    <w:p w14:paraId="7540E32E" w14:textId="77777777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6" w:name="n69"/>
      <w:bookmarkEnd w:id="46"/>
      <w:proofErr w:type="spellStart"/>
      <w:r w:rsidRPr="00997469">
        <w:rPr>
          <w:rFonts w:eastAsia="Times New Roman" w:cs="Times New Roman"/>
          <w:szCs w:val="28"/>
          <w:lang w:eastAsia="ru-RU"/>
        </w:rPr>
        <w:t>підприємств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установ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організацій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включених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рішення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Кабінету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Міністрів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рішень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представницьких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органів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місцевого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самоврядування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до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переліку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підприємств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установ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організацій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що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надають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соціально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важливі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послуги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населенню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- у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встановлення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плати на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рівні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нижчому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ніж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97469">
        <w:rPr>
          <w:rFonts w:eastAsia="Times New Roman" w:cs="Times New Roman"/>
          <w:szCs w:val="28"/>
          <w:lang w:eastAsia="ru-RU"/>
        </w:rPr>
        <w:t>визначено</w:t>
      </w:r>
      <w:proofErr w:type="spellEnd"/>
      <w:r w:rsidRPr="00997469">
        <w:rPr>
          <w:rFonts w:eastAsia="Times New Roman" w:cs="Times New Roman"/>
          <w:szCs w:val="28"/>
          <w:lang w:eastAsia="ru-RU"/>
        </w:rPr>
        <w:t> </w:t>
      </w:r>
      <w:hyperlink r:id="rId29" w:anchor="n239" w:tgtFrame="_blank" w:history="1">
        <w:r w:rsidRPr="00997469">
          <w:rPr>
            <w:rFonts w:eastAsia="Times New Roman" w:cs="Times New Roman"/>
            <w:szCs w:val="28"/>
            <w:lang w:eastAsia="ru-RU"/>
          </w:rPr>
          <w:t>пунктом 52</w:t>
        </w:r>
      </w:hyperlink>
      <w:r w:rsidRPr="00997469">
        <w:rPr>
          <w:rFonts w:eastAsia="Times New Roman" w:cs="Times New Roman"/>
          <w:szCs w:val="28"/>
          <w:lang w:eastAsia="ru-RU"/>
        </w:rPr>
        <w:t> Порядку.</w:t>
      </w:r>
    </w:p>
    <w:p w14:paraId="555861C2" w14:textId="1111C7A3" w:rsidR="00D225D6" w:rsidRPr="004B026E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7" w:name="n70"/>
      <w:bookmarkEnd w:id="47"/>
      <w:r w:rsidRPr="004B026E">
        <w:rPr>
          <w:rFonts w:eastAsia="Times New Roman" w:cs="Times New Roman"/>
          <w:szCs w:val="28"/>
          <w:lang w:eastAsia="ru-RU"/>
        </w:rPr>
        <w:t xml:space="preserve">17.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Якщо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плата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визначена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підставі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Методики (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крім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> </w:t>
      </w:r>
      <w:hyperlink r:id="rId30" w:anchor="n49" w:history="1">
        <w:r w:rsidRPr="004B026E">
          <w:rPr>
            <w:rFonts w:eastAsia="Times New Roman" w:cs="Times New Roman"/>
            <w:szCs w:val="28"/>
            <w:lang w:eastAsia="ru-RU"/>
          </w:rPr>
          <w:t>пункту 13</w:t>
        </w:r>
      </w:hyperlink>
      <w:r w:rsidRPr="004B026E">
        <w:rPr>
          <w:rFonts w:eastAsia="Times New Roman" w:cs="Times New Roman"/>
          <w:szCs w:val="28"/>
          <w:lang w:eastAsia="ru-RU"/>
        </w:rPr>
        <w:t> 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Методики)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абзацу четвертого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частини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сьомої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статті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18 Закону (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плата за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) і при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цьому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між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датою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визначення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і датою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підписання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акта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приймання-передачі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минуло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більше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ніж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один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повний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календарний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плати за перший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встановлюється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шляхом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коригування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індекс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інфляції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місяцях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що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минули з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дати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визначення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базовий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4B026E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4B026E">
        <w:rPr>
          <w:rFonts w:eastAsia="Times New Roman" w:cs="Times New Roman"/>
          <w:szCs w:val="28"/>
          <w:lang w:eastAsia="ru-RU"/>
        </w:rPr>
        <w:t>.</w:t>
      </w:r>
    </w:p>
    <w:p w14:paraId="3AAB27AB" w14:textId="77777777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8" w:name="n71"/>
      <w:bookmarkEnd w:id="48"/>
      <w:r w:rsidRPr="00D225D6">
        <w:rPr>
          <w:rFonts w:eastAsia="Times New Roman" w:cs="Times New Roman"/>
          <w:szCs w:val="28"/>
          <w:lang w:eastAsia="ru-RU"/>
        </w:rPr>
        <w:lastRenderedPageBreak/>
        <w:t xml:space="preserve">18.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Якщо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результатами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проведення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аукціону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січень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- грудень року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наступного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за роком,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який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припадає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перший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визначається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шляхом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коригування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за перший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річний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індекс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інфляції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року,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який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припадає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перший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 за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січень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- грудень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третього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і кожного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наступного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календарного року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визначається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шляхом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коригування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місячної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сплачувалася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попередньому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році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середньорічний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індекс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інфляції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такого року.</w:t>
      </w:r>
    </w:p>
    <w:p w14:paraId="531D9CF1" w14:textId="77777777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9" w:name="n72"/>
      <w:bookmarkEnd w:id="49"/>
      <w:proofErr w:type="spellStart"/>
      <w:r w:rsidRPr="00D225D6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плата,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встановлена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 </w:t>
      </w:r>
      <w:hyperlink r:id="rId31" w:anchor="n49" w:history="1">
        <w:r w:rsidRPr="00D225D6">
          <w:rPr>
            <w:rFonts w:eastAsia="Times New Roman" w:cs="Times New Roman"/>
            <w:szCs w:val="28"/>
            <w:lang w:eastAsia="ru-RU"/>
          </w:rPr>
          <w:t>пункту 13</w:t>
        </w:r>
      </w:hyperlink>
      <w:r w:rsidRPr="00D225D6">
        <w:rPr>
          <w:rFonts w:eastAsia="Times New Roman" w:cs="Times New Roman"/>
          <w:szCs w:val="28"/>
          <w:lang w:eastAsia="ru-RU"/>
        </w:rPr>
        <w:t> 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Методики, не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підлягає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коригуванню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індекс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інфляції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.</w:t>
      </w:r>
    </w:p>
    <w:p w14:paraId="321AB0E1" w14:textId="77777777" w:rsidR="00D225D6" w:rsidRP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0" w:name="n73"/>
      <w:bookmarkEnd w:id="50"/>
      <w:r w:rsidRPr="00D225D6">
        <w:rPr>
          <w:rFonts w:eastAsia="Times New Roman" w:cs="Times New Roman"/>
          <w:szCs w:val="28"/>
          <w:lang w:eastAsia="ru-RU"/>
        </w:rPr>
        <w:t xml:space="preserve">19.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дипломатичними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представництвами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консульськими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установами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іноземних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держав,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представництвами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міжнародних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організацій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Україні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іншого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окремого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індивідуально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визначеного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річної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плати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встановлюється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рівні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12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відсотків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орендованого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майна за результатами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незалежної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оцінки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.</w:t>
      </w:r>
    </w:p>
    <w:p w14:paraId="45006DB9" w14:textId="4D656A5B" w:rsidR="00D225D6" w:rsidRDefault="00D225D6" w:rsidP="00D225D6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1" w:name="n74"/>
      <w:bookmarkEnd w:id="51"/>
      <w:proofErr w:type="spellStart"/>
      <w:r w:rsidRPr="00D225D6">
        <w:rPr>
          <w:rFonts w:eastAsia="Times New Roman" w:cs="Times New Roman"/>
          <w:szCs w:val="28"/>
          <w:lang w:eastAsia="ru-RU"/>
        </w:rPr>
        <w:t>Якщо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міжнародними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договорами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згода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обов’язковість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яких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надана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Верховною Радою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встановлено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інші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правила,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ніж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ті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містяться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цій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Методиці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застосовуються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правила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міжнародного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 xml:space="preserve"> договору </w:t>
      </w:r>
      <w:proofErr w:type="spellStart"/>
      <w:r w:rsidRPr="00D225D6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Pr="00D225D6">
        <w:rPr>
          <w:rFonts w:eastAsia="Times New Roman" w:cs="Times New Roman"/>
          <w:szCs w:val="28"/>
          <w:lang w:eastAsia="ru-RU"/>
        </w:rPr>
        <w:t>.</w:t>
      </w:r>
    </w:p>
    <w:p w14:paraId="0C556A5D" w14:textId="4DA41682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997469">
        <w:rPr>
          <w:rFonts w:eastAsia="Times New Roman" w:cs="Times New Roman"/>
          <w:szCs w:val="28"/>
          <w:lang w:val="uk-UA" w:eastAsia="ru-RU"/>
        </w:rPr>
        <w:t>20</w:t>
      </w:r>
      <w:r w:rsidR="00997469" w:rsidRPr="00997469">
        <w:rPr>
          <w:rFonts w:eastAsia="Times New Roman" w:cs="Times New Roman"/>
          <w:szCs w:val="28"/>
          <w:lang w:val="uk-UA" w:eastAsia="ru-RU"/>
        </w:rPr>
        <w:t>.</w:t>
      </w:r>
      <w:r w:rsidR="00997469">
        <w:rPr>
          <w:rFonts w:eastAsia="Times New Roman" w:cs="Times New Roman"/>
          <w:szCs w:val="28"/>
          <w:lang w:val="uk-UA" w:eastAsia="ru-RU"/>
        </w:rPr>
        <w:t xml:space="preserve"> </w:t>
      </w:r>
      <w:r w:rsidR="00BA06B2" w:rsidRPr="00DE58AA">
        <w:rPr>
          <w:rFonts w:eastAsia="Times New Roman" w:cs="Times New Roman"/>
          <w:color w:val="000000" w:themeColor="text1"/>
          <w:szCs w:val="28"/>
          <w:lang w:val="uk-UA" w:eastAsia="ru-RU"/>
        </w:rPr>
        <w:t>О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рендна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плата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спрямовується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14:paraId="43DE1FA4" w14:textId="2349ABAD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1) за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оренду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цілісних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майнових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комплексів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100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відсотків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до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обласного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бюджету;</w:t>
      </w:r>
    </w:p>
    <w:p w14:paraId="3B70B6B6" w14:textId="5C4BDD71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2) за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оренду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нерухомого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майна,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що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перебуває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на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балансі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бюджетних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установ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або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організацій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та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бюджетних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установ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або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організацій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спільної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власності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територіальних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громад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сіл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, селищ,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міст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області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14:paraId="6E1E3FAD" w14:textId="270E1058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70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відсотків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до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обласного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бюджету;</w:t>
      </w:r>
    </w:p>
    <w:p w14:paraId="197DCEB4" w14:textId="4C8F8ED8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30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відсотків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установі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або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організації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, на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балансі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яких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перебуває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це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майно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14:paraId="0A6F96CD" w14:textId="657B30D5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3) за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оренду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нерухомого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майна,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що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перебуває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на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балансі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підприємств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спільної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власності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територіальних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громад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сіл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, селищ,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міст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області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:</w:t>
      </w:r>
    </w:p>
    <w:p w14:paraId="75F8EDEB" w14:textId="3E05FFFB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50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відсотків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до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обласного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бюджету;</w:t>
      </w:r>
    </w:p>
    <w:p w14:paraId="69CC3A18" w14:textId="598C9ACB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50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відсотків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підприємству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, на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балансі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якого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перебуває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це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майно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;</w:t>
      </w:r>
    </w:p>
    <w:p w14:paraId="5ADD8FF2" w14:textId="6A9696E4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4) за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окреме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індивідуально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визначене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майно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(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крім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нерухомого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gram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майна) </w:t>
      </w:r>
      <w:r w:rsidR="00AE6C1B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 </w:t>
      </w:r>
      <w:proofErr w:type="gramEnd"/>
      <w:r w:rsidR="00AE6C1B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  </w:t>
      </w:r>
      <w:r w:rsidR="005F47F7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    </w:t>
      </w:r>
      <w:r w:rsidR="00AE6C1B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</w:t>
      </w:r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100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відсотків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підприємству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установі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організації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, на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балансі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яких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перебуває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це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майно</w:t>
      </w:r>
      <w:proofErr w:type="spellEnd"/>
      <w:r w:rsidRPr="00DE58AA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14:paraId="00E81FF8" w14:textId="67EB29AE" w:rsidR="009870BF" w:rsidRPr="00DE58AA" w:rsidRDefault="0017211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uk-UA" w:eastAsia="ru-RU"/>
        </w:rPr>
        <w:t>21</w:t>
      </w:r>
      <w:r w:rsidR="009870BF" w:rsidRPr="00DE58AA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Кошти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отримані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від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оренди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комунального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 майна</w:t>
      </w:r>
      <w:r w:rsidR="005F47F7">
        <w:rPr>
          <w:rFonts w:eastAsia="Times New Roman" w:cs="Times New Roman"/>
          <w:szCs w:val="28"/>
          <w:lang w:val="uk-UA" w:eastAsia="ru-RU"/>
        </w:rPr>
        <w:t>,</w:t>
      </w:r>
      <w:r w:rsidR="009870BF"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використовуються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балансоутримувачами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 майна для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належного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утримання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="009870BF" w:rsidRPr="00DE58AA">
        <w:rPr>
          <w:rFonts w:eastAsia="Times New Roman" w:cs="Times New Roman"/>
          <w:szCs w:val="28"/>
          <w:lang w:eastAsia="ru-RU"/>
        </w:rPr>
        <w:t>облаштування</w:t>
      </w:r>
      <w:proofErr w:type="spellEnd"/>
      <w:r w:rsidR="009870BF" w:rsidRPr="00DE58AA">
        <w:rPr>
          <w:rFonts w:eastAsia="Times New Roman" w:cs="Times New Roman"/>
          <w:szCs w:val="28"/>
          <w:lang w:eastAsia="ru-RU"/>
        </w:rPr>
        <w:t xml:space="preserve"> та ремонту майна.</w:t>
      </w:r>
    </w:p>
    <w:p w14:paraId="641F1388" w14:textId="0C967F65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DE58AA">
        <w:rPr>
          <w:rFonts w:eastAsia="Times New Roman" w:cs="Times New Roman"/>
          <w:szCs w:val="28"/>
          <w:lang w:eastAsia="ru-RU"/>
        </w:rPr>
        <w:t>2</w:t>
      </w:r>
      <w:r w:rsidR="0017211F">
        <w:rPr>
          <w:rFonts w:eastAsia="Times New Roman" w:cs="Times New Roman"/>
          <w:szCs w:val="28"/>
          <w:lang w:val="uk-UA" w:eastAsia="ru-RU"/>
        </w:rPr>
        <w:t>2</w:t>
      </w:r>
      <w:r w:rsidRPr="00DE58AA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Розмір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суборенду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нерухомого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іншого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окремого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індивідуально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визначеного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майна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розраховується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DE58AA">
        <w:rPr>
          <w:rFonts w:eastAsia="Times New Roman" w:cs="Times New Roman"/>
          <w:szCs w:val="28"/>
          <w:lang w:eastAsia="ru-RU"/>
        </w:rPr>
        <w:t>в порядку</w:t>
      </w:r>
      <w:proofErr w:type="gram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встановленому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цією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Методикою для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розрахунку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розміру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зазначеного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майна.</w:t>
      </w:r>
    </w:p>
    <w:p w14:paraId="173D2938" w14:textId="77777777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DE58AA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плата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нерухоме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майно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передається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суборенду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визначається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урахуванням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частки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такого майна у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загальній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орендованого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r w:rsidRPr="00DE58AA">
        <w:rPr>
          <w:rFonts w:eastAsia="Times New Roman" w:cs="Times New Roman"/>
          <w:szCs w:val="28"/>
          <w:lang w:eastAsia="ru-RU"/>
        </w:rPr>
        <w:lastRenderedPageBreak/>
        <w:t xml:space="preserve">майна у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цінах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застосованих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при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визначенні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розміру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плати, і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погоджується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орендодавцем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>.</w:t>
      </w:r>
    </w:p>
    <w:p w14:paraId="2062FBFF" w14:textId="77777777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DE58AA">
        <w:rPr>
          <w:rFonts w:eastAsia="Times New Roman" w:cs="Times New Roman"/>
          <w:szCs w:val="28"/>
          <w:lang w:eastAsia="ru-RU"/>
        </w:rPr>
        <w:t xml:space="preserve">У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разі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суборенди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приміщення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будівлі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входить </w:t>
      </w:r>
      <w:proofErr w:type="gramStart"/>
      <w:r w:rsidRPr="00DE58AA">
        <w:rPr>
          <w:rFonts w:eastAsia="Times New Roman" w:cs="Times New Roman"/>
          <w:szCs w:val="28"/>
          <w:lang w:eastAsia="ru-RU"/>
        </w:rPr>
        <w:t>до складу</w:t>
      </w:r>
      <w:proofErr w:type="gram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цілісного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майнового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комплексу,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орендна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плата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таке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приміщення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визначається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урахуванням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частки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такого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приміщення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загальній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відповідної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будівлі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частки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зазначеної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будівлі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загальній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вартості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орендованих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основних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засобів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цілісного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майнового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комплексу.</w:t>
      </w:r>
    </w:p>
    <w:p w14:paraId="106A3763" w14:textId="77777777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DE58AA">
        <w:rPr>
          <w:rFonts w:eastAsia="Times New Roman" w:cs="Times New Roman"/>
          <w:szCs w:val="28"/>
          <w:lang w:eastAsia="ru-RU"/>
        </w:rPr>
        <w:t xml:space="preserve">Плата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суборенду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майна у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частині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не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перевищує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орендної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плати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майно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передається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суборенду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сплачується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орендарю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який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передає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суборенду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орендоване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ним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майно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>.</w:t>
      </w:r>
    </w:p>
    <w:p w14:paraId="55DB8AF5" w14:textId="77777777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DE58AA">
        <w:rPr>
          <w:rFonts w:eastAsia="Times New Roman" w:cs="Times New Roman"/>
          <w:szCs w:val="28"/>
          <w:lang w:eastAsia="ru-RU"/>
        </w:rPr>
        <w:t>Різниця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між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нарахованою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платою за перший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суборенди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тією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її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частиною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отримує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орендар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погоджується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орендодавцем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балансоутримувачем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перераховується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орендарем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обласного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бюджету.</w:t>
      </w:r>
    </w:p>
    <w:p w14:paraId="626EC978" w14:textId="77777777" w:rsidR="009870BF" w:rsidRPr="00DE58AA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DE58AA">
        <w:rPr>
          <w:rFonts w:eastAsia="Times New Roman" w:cs="Times New Roman"/>
          <w:szCs w:val="28"/>
          <w:lang w:eastAsia="ru-RU"/>
        </w:rPr>
        <w:t>Різниця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між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нарахованою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платою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кожний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наступний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суборенди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тією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її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частиною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що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отримує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орендар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визначається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шляхом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коригування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різниці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попередній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індекс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інфляції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поточний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місяць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>.</w:t>
      </w:r>
    </w:p>
    <w:p w14:paraId="46ADF9A7" w14:textId="57E8D560" w:rsidR="009870BF" w:rsidRDefault="009870BF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szCs w:val="28"/>
          <w:lang w:val="uk-UA" w:eastAsia="ru-RU"/>
        </w:rPr>
      </w:pPr>
      <w:r w:rsidRPr="00DE58AA">
        <w:rPr>
          <w:rFonts w:eastAsia="Times New Roman" w:cs="Times New Roman"/>
          <w:szCs w:val="28"/>
          <w:lang w:eastAsia="ru-RU"/>
        </w:rPr>
        <w:t>2</w:t>
      </w:r>
      <w:r w:rsidR="0017211F">
        <w:rPr>
          <w:rFonts w:eastAsia="Times New Roman" w:cs="Times New Roman"/>
          <w:szCs w:val="28"/>
          <w:lang w:val="uk-UA" w:eastAsia="ru-RU"/>
        </w:rPr>
        <w:t>3</w:t>
      </w:r>
      <w:r w:rsidRPr="00DE58AA">
        <w:rPr>
          <w:rFonts w:eastAsia="Times New Roman" w:cs="Times New Roman"/>
          <w:szCs w:val="28"/>
          <w:lang w:eastAsia="ru-RU"/>
        </w:rPr>
        <w:t xml:space="preserve">. Контроль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своєчасним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здійсненням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платежів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оренду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майна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спільної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власності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територіальних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громад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сіл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, селищ,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міст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області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покладається</w:t>
      </w:r>
      <w:proofErr w:type="spellEnd"/>
      <w:r w:rsidRPr="00DE58AA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DE58AA">
        <w:rPr>
          <w:rFonts w:eastAsia="Times New Roman" w:cs="Times New Roman"/>
          <w:szCs w:val="28"/>
          <w:lang w:eastAsia="ru-RU"/>
        </w:rPr>
        <w:t>балансоутримувача</w:t>
      </w:r>
      <w:proofErr w:type="spellEnd"/>
      <w:r w:rsidRPr="00DE58AA">
        <w:rPr>
          <w:rFonts w:eastAsia="Times New Roman" w:cs="Times New Roman"/>
          <w:szCs w:val="28"/>
          <w:lang w:val="uk-UA" w:eastAsia="ru-RU"/>
        </w:rPr>
        <w:t>.</w:t>
      </w:r>
    </w:p>
    <w:p w14:paraId="4B88E3B7" w14:textId="54EE4830" w:rsidR="00CC2765" w:rsidRPr="00DE58AA" w:rsidRDefault="00CC2765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val="uk-UA" w:eastAsia="ru-RU"/>
        </w:rPr>
        <w:t>2</w:t>
      </w:r>
      <w:r w:rsidR="0017211F">
        <w:rPr>
          <w:rFonts w:eastAsia="Times New Roman" w:cs="Times New Roman"/>
          <w:color w:val="000000" w:themeColor="text1"/>
          <w:szCs w:val="28"/>
          <w:lang w:val="uk-UA" w:eastAsia="ru-RU"/>
        </w:rPr>
        <w:t>4</w:t>
      </w:r>
      <w:r w:rsidRPr="00DE58AA">
        <w:rPr>
          <w:rFonts w:eastAsia="Times New Roman" w:cs="Times New Roman"/>
          <w:color w:val="000000" w:themeColor="text1"/>
          <w:szCs w:val="28"/>
          <w:lang w:val="uk-UA" w:eastAsia="ru-RU"/>
        </w:rPr>
        <w:t>.</w:t>
      </w:r>
      <w:r w:rsidRPr="00DE58AA">
        <w:rPr>
          <w:color w:val="000000" w:themeColor="text1"/>
        </w:rPr>
        <w:t xml:space="preserve"> </w:t>
      </w:r>
      <w:r w:rsidRPr="00DE58AA">
        <w:rPr>
          <w:rFonts w:eastAsia="Times New Roman" w:cs="Times New Roman"/>
          <w:color w:val="000000" w:themeColor="text1"/>
          <w:szCs w:val="28"/>
          <w:lang w:val="uk-UA" w:eastAsia="ru-RU"/>
        </w:rPr>
        <w:t>Орендна плата є платежем, який вносить орендар незалежно від наслідків своєї господарської чи іншої діяльності.</w:t>
      </w:r>
    </w:p>
    <w:p w14:paraId="345A89FF" w14:textId="3C5FC68E" w:rsidR="00CC2765" w:rsidRPr="00DE58AA" w:rsidRDefault="00CC2765" w:rsidP="009870BF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val="uk-UA" w:eastAsia="ru-RU"/>
        </w:rPr>
        <w:t>2</w:t>
      </w:r>
      <w:r w:rsidR="0017211F">
        <w:rPr>
          <w:rFonts w:eastAsia="Times New Roman" w:cs="Times New Roman"/>
          <w:color w:val="000000" w:themeColor="text1"/>
          <w:szCs w:val="28"/>
          <w:lang w:val="uk-UA" w:eastAsia="ru-RU"/>
        </w:rPr>
        <w:t>5</w:t>
      </w:r>
      <w:r w:rsidRPr="00DE58AA">
        <w:rPr>
          <w:rFonts w:eastAsia="Times New Roman" w:cs="Times New Roman"/>
          <w:color w:val="000000" w:themeColor="text1"/>
          <w:szCs w:val="28"/>
          <w:lang w:val="uk-UA" w:eastAsia="ru-RU"/>
        </w:rPr>
        <w:t>. Нарахування податку на додану вартість на суму орендної плати здійснюється у порядку, визначеному чинним законодавством</w:t>
      </w:r>
      <w:r w:rsidR="00B66FB6" w:rsidRPr="00DE58AA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України.</w:t>
      </w:r>
    </w:p>
    <w:p w14:paraId="593FEBA3" w14:textId="5A26442B" w:rsidR="00185F18" w:rsidRPr="005A185B" w:rsidRDefault="00B66FB6" w:rsidP="005A185B">
      <w:pPr>
        <w:shd w:val="clear" w:color="auto" w:fill="FFFFFF"/>
        <w:spacing w:after="0"/>
        <w:ind w:firstLine="450"/>
        <w:jc w:val="both"/>
        <w:rPr>
          <w:rFonts w:eastAsia="Times New Roman" w:cs="Times New Roman"/>
          <w:color w:val="000000" w:themeColor="text1"/>
          <w:szCs w:val="28"/>
          <w:lang w:val="uk-UA" w:eastAsia="ru-RU"/>
        </w:rPr>
      </w:pPr>
      <w:r w:rsidRPr="00DE58AA">
        <w:rPr>
          <w:rFonts w:eastAsia="Times New Roman" w:cs="Times New Roman"/>
          <w:color w:val="000000" w:themeColor="text1"/>
          <w:szCs w:val="28"/>
          <w:lang w:val="uk-UA" w:eastAsia="ru-RU"/>
        </w:rPr>
        <w:t>2</w:t>
      </w:r>
      <w:r w:rsidR="0017211F">
        <w:rPr>
          <w:rFonts w:eastAsia="Times New Roman" w:cs="Times New Roman"/>
          <w:color w:val="000000" w:themeColor="text1"/>
          <w:szCs w:val="28"/>
          <w:lang w:val="uk-UA" w:eastAsia="ru-RU"/>
        </w:rPr>
        <w:t>6</w:t>
      </w:r>
      <w:r w:rsidRPr="00DE58AA">
        <w:rPr>
          <w:rFonts w:eastAsia="Times New Roman" w:cs="Times New Roman"/>
          <w:color w:val="000000" w:themeColor="text1"/>
          <w:szCs w:val="28"/>
          <w:lang w:val="uk-UA" w:eastAsia="ru-RU"/>
        </w:rPr>
        <w:t>.У випадку змін, які відбулися в законодавстві під час дії цієї Методики, її норми застосовуються в частині, яка не суперечить чинному законодавству України.</w:t>
      </w:r>
      <w:bookmarkStart w:id="52" w:name="n249"/>
      <w:bookmarkEnd w:id="52"/>
    </w:p>
    <w:p w14:paraId="1BAF37C8" w14:textId="2BFBBDFD" w:rsidR="00185F18" w:rsidRDefault="00185F18" w:rsidP="00D225D6">
      <w:pPr>
        <w:spacing w:after="0"/>
        <w:rPr>
          <w:rFonts w:eastAsia="Times New Roman" w:cs="Times New Roman"/>
          <w:szCs w:val="28"/>
          <w:lang w:eastAsia="ru-RU"/>
        </w:rPr>
      </w:pPr>
    </w:p>
    <w:p w14:paraId="73B44D94" w14:textId="67110938" w:rsidR="00185F18" w:rsidRDefault="00185F18" w:rsidP="00D225D6">
      <w:pPr>
        <w:spacing w:after="0"/>
        <w:rPr>
          <w:rFonts w:eastAsia="Times New Roman" w:cs="Times New Roman"/>
          <w:szCs w:val="28"/>
          <w:lang w:eastAsia="ru-RU"/>
        </w:rPr>
      </w:pPr>
    </w:p>
    <w:p w14:paraId="139B9D43" w14:textId="53ECC6BD" w:rsidR="00185F18" w:rsidRDefault="00185F18" w:rsidP="00D225D6">
      <w:pPr>
        <w:spacing w:after="0"/>
        <w:rPr>
          <w:rFonts w:eastAsia="Times New Roman" w:cs="Times New Roman"/>
          <w:szCs w:val="28"/>
          <w:lang w:eastAsia="ru-RU"/>
        </w:rPr>
      </w:pPr>
    </w:p>
    <w:p w14:paraId="654287AF" w14:textId="77777777" w:rsidR="00AE6C1B" w:rsidRDefault="00AE6C1B" w:rsidP="00D225D6">
      <w:pPr>
        <w:spacing w:after="0"/>
        <w:rPr>
          <w:rFonts w:eastAsia="Times New Roman" w:cs="Times New Roman"/>
          <w:szCs w:val="28"/>
          <w:lang w:val="uk-UA" w:eastAsia="ru-RU"/>
        </w:rPr>
      </w:pPr>
    </w:p>
    <w:p w14:paraId="1DEAC6F8" w14:textId="77777777" w:rsidR="00AE6C1B" w:rsidRDefault="00AE6C1B" w:rsidP="00D225D6">
      <w:pPr>
        <w:spacing w:after="0"/>
        <w:rPr>
          <w:rFonts w:eastAsia="Times New Roman" w:cs="Times New Roman"/>
          <w:szCs w:val="28"/>
          <w:lang w:val="uk-UA" w:eastAsia="ru-RU"/>
        </w:rPr>
      </w:pPr>
    </w:p>
    <w:p w14:paraId="7018601F" w14:textId="77777777" w:rsidR="00AE6C1B" w:rsidRDefault="00AE6C1B" w:rsidP="00D225D6">
      <w:pPr>
        <w:spacing w:after="0"/>
        <w:rPr>
          <w:rFonts w:eastAsia="Times New Roman" w:cs="Times New Roman"/>
          <w:szCs w:val="28"/>
          <w:lang w:val="uk-UA" w:eastAsia="ru-RU"/>
        </w:rPr>
      </w:pPr>
    </w:p>
    <w:p w14:paraId="74E5104F" w14:textId="77777777" w:rsidR="007B0E23" w:rsidRDefault="007B0E23" w:rsidP="00426B77">
      <w:pPr>
        <w:spacing w:after="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76132F90" w14:textId="77777777" w:rsidR="007B0E23" w:rsidRDefault="007B0E23" w:rsidP="00426B77">
      <w:pPr>
        <w:spacing w:after="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07F56A15" w14:textId="77777777" w:rsidR="007B0E23" w:rsidRDefault="007B0E23" w:rsidP="00426B77">
      <w:pPr>
        <w:spacing w:after="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4D939CA5" w14:textId="77777777" w:rsidR="007B0E23" w:rsidRDefault="007B0E23" w:rsidP="00426B77">
      <w:pPr>
        <w:spacing w:after="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551BD1A7" w14:textId="77777777" w:rsidR="007B0E23" w:rsidRDefault="007B0E23" w:rsidP="00426B77">
      <w:pPr>
        <w:spacing w:after="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6246C5E6" w14:textId="77777777" w:rsidR="007B0E23" w:rsidRDefault="007B0E23" w:rsidP="00426B77">
      <w:pPr>
        <w:spacing w:after="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6542CF23" w14:textId="77777777" w:rsidR="007B0E23" w:rsidRDefault="007B0E23" w:rsidP="00426B77">
      <w:pPr>
        <w:spacing w:after="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692FAE5B" w14:textId="77777777" w:rsidR="007B0E23" w:rsidRDefault="007B0E23" w:rsidP="00426B77">
      <w:pPr>
        <w:spacing w:after="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p w14:paraId="7F2A2711" w14:textId="77777777" w:rsidR="007B0E23" w:rsidRDefault="007B0E23" w:rsidP="00426B77">
      <w:pPr>
        <w:spacing w:after="0"/>
        <w:jc w:val="right"/>
        <w:rPr>
          <w:rFonts w:eastAsia="Times New Roman" w:cs="Times New Roman"/>
          <w:b/>
          <w:bCs/>
          <w:szCs w:val="28"/>
          <w:lang w:val="uk-UA" w:eastAsia="ru-RU"/>
        </w:rPr>
      </w:pPr>
    </w:p>
    <w:sectPr w:rsidR="007B0E23" w:rsidSect="00EF01A7">
      <w:headerReference w:type="default" r:id="rId32"/>
      <w:footerReference w:type="default" r:id="rId33"/>
      <w:headerReference w:type="first" r:id="rId34"/>
      <w:pgSz w:w="11906" w:h="16838" w:code="9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8B564" w14:textId="77777777" w:rsidR="00855F7C" w:rsidRDefault="00855F7C" w:rsidP="00D93BBC">
      <w:pPr>
        <w:spacing w:after="0"/>
      </w:pPr>
      <w:r>
        <w:separator/>
      </w:r>
    </w:p>
  </w:endnote>
  <w:endnote w:type="continuationSeparator" w:id="0">
    <w:p w14:paraId="3488533A" w14:textId="77777777" w:rsidR="00855F7C" w:rsidRDefault="00855F7C" w:rsidP="00D93B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DDCF2" w14:textId="4D400D2C" w:rsidR="00D93BBC" w:rsidRDefault="00D93BBC" w:rsidP="00AD3FFD">
    <w:pPr>
      <w:pStyle w:val="a7"/>
    </w:pPr>
  </w:p>
  <w:p w14:paraId="68C45D09" w14:textId="77777777" w:rsidR="00D93BBC" w:rsidRDefault="00D93B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B2227" w14:textId="77777777" w:rsidR="00855F7C" w:rsidRDefault="00855F7C" w:rsidP="00D93BBC">
      <w:pPr>
        <w:spacing w:after="0"/>
      </w:pPr>
      <w:r>
        <w:separator/>
      </w:r>
    </w:p>
  </w:footnote>
  <w:footnote w:type="continuationSeparator" w:id="0">
    <w:p w14:paraId="5C8E7FC7" w14:textId="77777777" w:rsidR="00855F7C" w:rsidRDefault="00855F7C" w:rsidP="00D93B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1579709"/>
      <w:docPartObj>
        <w:docPartGallery w:val="Page Numbers (Top of Page)"/>
        <w:docPartUnique/>
      </w:docPartObj>
    </w:sdtPr>
    <w:sdtContent>
      <w:p w14:paraId="71472200" w14:textId="648D8065" w:rsidR="00EF01A7" w:rsidRDefault="00EF01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FF1D552" w14:textId="77777777" w:rsidR="00EF01A7" w:rsidRDefault="00EF01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602FD" w14:textId="428BB800" w:rsidR="00EF01A7" w:rsidRDefault="00EF01A7">
    <w:pPr>
      <w:pStyle w:val="a5"/>
      <w:jc w:val="center"/>
    </w:pPr>
  </w:p>
  <w:p w14:paraId="3FEA7BD0" w14:textId="77777777" w:rsidR="00AD3FFD" w:rsidRDefault="00AD3F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32" style="width:0;height:0" o:bullet="t" o:hrstd="t" o:hrnoshade="t" o:hr="t" fillcolor="black" stroked="f"/>
    </w:pict>
  </w:numPicBullet>
  <w:abstractNum w:abstractNumId="0" w15:restartNumberingAfterBreak="0">
    <w:nsid w:val="4F82701F"/>
    <w:multiLevelType w:val="hybridMultilevel"/>
    <w:tmpl w:val="6100BA40"/>
    <w:lvl w:ilvl="0" w:tplc="D8C6B9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F6A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9E0E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B220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EEA3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4847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DE53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2E6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9650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8789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5D6"/>
    <w:rsid w:val="000278E6"/>
    <w:rsid w:val="000418D4"/>
    <w:rsid w:val="000801F7"/>
    <w:rsid w:val="00084575"/>
    <w:rsid w:val="00094E34"/>
    <w:rsid w:val="000B2C9E"/>
    <w:rsid w:val="000C2EBC"/>
    <w:rsid w:val="000C5F2B"/>
    <w:rsid w:val="000D629C"/>
    <w:rsid w:val="000E629F"/>
    <w:rsid w:val="0010352B"/>
    <w:rsid w:val="00107C95"/>
    <w:rsid w:val="001168F3"/>
    <w:rsid w:val="00122C5C"/>
    <w:rsid w:val="001335F7"/>
    <w:rsid w:val="00135155"/>
    <w:rsid w:val="0017211F"/>
    <w:rsid w:val="00185B27"/>
    <w:rsid w:val="00185F18"/>
    <w:rsid w:val="001976D4"/>
    <w:rsid w:val="001A5BBF"/>
    <w:rsid w:val="002126D9"/>
    <w:rsid w:val="0021592B"/>
    <w:rsid w:val="002230B8"/>
    <w:rsid w:val="00225F1F"/>
    <w:rsid w:val="002342CC"/>
    <w:rsid w:val="00264731"/>
    <w:rsid w:val="00276595"/>
    <w:rsid w:val="00291B33"/>
    <w:rsid w:val="00294B06"/>
    <w:rsid w:val="0029784E"/>
    <w:rsid w:val="002A0CA7"/>
    <w:rsid w:val="002A22F0"/>
    <w:rsid w:val="002B77C2"/>
    <w:rsid w:val="0030644F"/>
    <w:rsid w:val="003104D6"/>
    <w:rsid w:val="00313EB7"/>
    <w:rsid w:val="00323F46"/>
    <w:rsid w:val="00327558"/>
    <w:rsid w:val="00332C71"/>
    <w:rsid w:val="003473CD"/>
    <w:rsid w:val="00353336"/>
    <w:rsid w:val="00354580"/>
    <w:rsid w:val="00355D77"/>
    <w:rsid w:val="00390E15"/>
    <w:rsid w:val="0039177A"/>
    <w:rsid w:val="0039794C"/>
    <w:rsid w:val="003A3EDB"/>
    <w:rsid w:val="003C22F3"/>
    <w:rsid w:val="003C4BB4"/>
    <w:rsid w:val="003C5C19"/>
    <w:rsid w:val="003D6D28"/>
    <w:rsid w:val="003E6CD1"/>
    <w:rsid w:val="003F5116"/>
    <w:rsid w:val="00403877"/>
    <w:rsid w:val="00426B77"/>
    <w:rsid w:val="00457C94"/>
    <w:rsid w:val="00473959"/>
    <w:rsid w:val="00480B4E"/>
    <w:rsid w:val="004B026E"/>
    <w:rsid w:val="004D1A75"/>
    <w:rsid w:val="00506CC5"/>
    <w:rsid w:val="00517512"/>
    <w:rsid w:val="00581ACE"/>
    <w:rsid w:val="005876EC"/>
    <w:rsid w:val="005A185B"/>
    <w:rsid w:val="005C01EE"/>
    <w:rsid w:val="005F47F7"/>
    <w:rsid w:val="0063551B"/>
    <w:rsid w:val="006500FA"/>
    <w:rsid w:val="006567DD"/>
    <w:rsid w:val="00657190"/>
    <w:rsid w:val="006A6A17"/>
    <w:rsid w:val="006C0B77"/>
    <w:rsid w:val="006C7E7A"/>
    <w:rsid w:val="006E18F1"/>
    <w:rsid w:val="006F4911"/>
    <w:rsid w:val="0072359C"/>
    <w:rsid w:val="007339C0"/>
    <w:rsid w:val="007570C4"/>
    <w:rsid w:val="007B0E23"/>
    <w:rsid w:val="007B6627"/>
    <w:rsid w:val="007B670D"/>
    <w:rsid w:val="007C0AB6"/>
    <w:rsid w:val="007D43C4"/>
    <w:rsid w:val="00815EDB"/>
    <w:rsid w:val="00817184"/>
    <w:rsid w:val="0081734E"/>
    <w:rsid w:val="00820ED1"/>
    <w:rsid w:val="008242FF"/>
    <w:rsid w:val="008440CA"/>
    <w:rsid w:val="00855F7C"/>
    <w:rsid w:val="0086191B"/>
    <w:rsid w:val="00865701"/>
    <w:rsid w:val="00870751"/>
    <w:rsid w:val="0087111A"/>
    <w:rsid w:val="0088143D"/>
    <w:rsid w:val="008A3188"/>
    <w:rsid w:val="008B4D6C"/>
    <w:rsid w:val="008F4D93"/>
    <w:rsid w:val="00900E1B"/>
    <w:rsid w:val="00922C48"/>
    <w:rsid w:val="00941047"/>
    <w:rsid w:val="009840B3"/>
    <w:rsid w:val="009870BF"/>
    <w:rsid w:val="00997469"/>
    <w:rsid w:val="009A3B59"/>
    <w:rsid w:val="009B1666"/>
    <w:rsid w:val="009B3DBB"/>
    <w:rsid w:val="00A15EAC"/>
    <w:rsid w:val="00A523CE"/>
    <w:rsid w:val="00A52DE7"/>
    <w:rsid w:val="00A87418"/>
    <w:rsid w:val="00AB10CA"/>
    <w:rsid w:val="00AC5D66"/>
    <w:rsid w:val="00AD3FFD"/>
    <w:rsid w:val="00AE6C1B"/>
    <w:rsid w:val="00AF3B2A"/>
    <w:rsid w:val="00B00D9F"/>
    <w:rsid w:val="00B02403"/>
    <w:rsid w:val="00B2213A"/>
    <w:rsid w:val="00B4022F"/>
    <w:rsid w:val="00B53769"/>
    <w:rsid w:val="00B66FB6"/>
    <w:rsid w:val="00B70C91"/>
    <w:rsid w:val="00B91014"/>
    <w:rsid w:val="00B915B7"/>
    <w:rsid w:val="00B92264"/>
    <w:rsid w:val="00BA06B2"/>
    <w:rsid w:val="00BB21B0"/>
    <w:rsid w:val="00BB6758"/>
    <w:rsid w:val="00BB7624"/>
    <w:rsid w:val="00BC4DE5"/>
    <w:rsid w:val="00BE4085"/>
    <w:rsid w:val="00BF0BF1"/>
    <w:rsid w:val="00BF784A"/>
    <w:rsid w:val="00C05C78"/>
    <w:rsid w:val="00C21BD7"/>
    <w:rsid w:val="00C50258"/>
    <w:rsid w:val="00C927D1"/>
    <w:rsid w:val="00CC118C"/>
    <w:rsid w:val="00CC2765"/>
    <w:rsid w:val="00CE2345"/>
    <w:rsid w:val="00D0399F"/>
    <w:rsid w:val="00D1042F"/>
    <w:rsid w:val="00D21711"/>
    <w:rsid w:val="00D225D6"/>
    <w:rsid w:val="00D3230F"/>
    <w:rsid w:val="00D46028"/>
    <w:rsid w:val="00D5100E"/>
    <w:rsid w:val="00D614A8"/>
    <w:rsid w:val="00D625BB"/>
    <w:rsid w:val="00D6654F"/>
    <w:rsid w:val="00D82466"/>
    <w:rsid w:val="00D93BBC"/>
    <w:rsid w:val="00DC7E27"/>
    <w:rsid w:val="00DE58AA"/>
    <w:rsid w:val="00DF27B8"/>
    <w:rsid w:val="00E003B8"/>
    <w:rsid w:val="00E0463E"/>
    <w:rsid w:val="00E118F7"/>
    <w:rsid w:val="00E22B78"/>
    <w:rsid w:val="00E65649"/>
    <w:rsid w:val="00E70D45"/>
    <w:rsid w:val="00E85FF4"/>
    <w:rsid w:val="00EA1E3B"/>
    <w:rsid w:val="00EA59DF"/>
    <w:rsid w:val="00EB19FF"/>
    <w:rsid w:val="00EC47FE"/>
    <w:rsid w:val="00EC79FB"/>
    <w:rsid w:val="00ED38F0"/>
    <w:rsid w:val="00EE4070"/>
    <w:rsid w:val="00EE425D"/>
    <w:rsid w:val="00EF01A7"/>
    <w:rsid w:val="00EF519D"/>
    <w:rsid w:val="00F12C76"/>
    <w:rsid w:val="00F341E7"/>
    <w:rsid w:val="00F36184"/>
    <w:rsid w:val="00F50C89"/>
    <w:rsid w:val="00F50ED9"/>
    <w:rsid w:val="00F64DA1"/>
    <w:rsid w:val="00F84ACD"/>
    <w:rsid w:val="00F9461C"/>
    <w:rsid w:val="00F95BB1"/>
    <w:rsid w:val="00FA5FF6"/>
    <w:rsid w:val="00FC6426"/>
    <w:rsid w:val="00FD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3C3F0"/>
  <w15:chartTrackingRefBased/>
  <w15:docId w15:val="{F372DFAF-BF51-40C0-AF0B-A84BB9C0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395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395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D93BBC"/>
    <w:pPr>
      <w:tabs>
        <w:tab w:val="center" w:pos="4819"/>
        <w:tab w:val="right" w:pos="9639"/>
      </w:tabs>
      <w:spacing w:after="0"/>
    </w:pPr>
  </w:style>
  <w:style w:type="character" w:customStyle="1" w:styleId="a6">
    <w:name w:val="Верхній колонтитул Знак"/>
    <w:basedOn w:val="a0"/>
    <w:link w:val="a5"/>
    <w:uiPriority w:val="99"/>
    <w:rsid w:val="00D93BBC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3BBC"/>
    <w:pPr>
      <w:tabs>
        <w:tab w:val="center" w:pos="4819"/>
        <w:tab w:val="right" w:pos="9639"/>
      </w:tabs>
      <w:spacing w:after="0"/>
    </w:pPr>
  </w:style>
  <w:style w:type="character" w:customStyle="1" w:styleId="a8">
    <w:name w:val="Нижній колонтитул Знак"/>
    <w:basedOn w:val="a0"/>
    <w:link w:val="a7"/>
    <w:uiPriority w:val="99"/>
    <w:rsid w:val="00D93BBC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D93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1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64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0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5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1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0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60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38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94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13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93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32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34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32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45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gif"/><Relationship Id="rId26" Type="http://schemas.openxmlformats.org/officeDocument/2006/relationships/hyperlink" Target="https://zakon.rada.gov.ua/laws/show/483-2020-%D0%BF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gif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630-2021-%D0%BF/print" TargetMode="External"/><Relationship Id="rId17" Type="http://schemas.openxmlformats.org/officeDocument/2006/relationships/image" Target="media/image9.gif"/><Relationship Id="rId25" Type="http://schemas.openxmlformats.org/officeDocument/2006/relationships/image" Target="media/image17.gif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29" Type="http://schemas.openxmlformats.org/officeDocument/2006/relationships/hyperlink" Target="https://zakon.rada.gov.ua/laws/show/483-2020-%D0%B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image" Target="media/image16.gi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gif"/><Relationship Id="rId28" Type="http://schemas.openxmlformats.org/officeDocument/2006/relationships/hyperlink" Target="https://zakon.rada.gov.ua/laws/show/1555-18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image" Target="media/image11.png"/><Relationship Id="rId31" Type="http://schemas.openxmlformats.org/officeDocument/2006/relationships/hyperlink" Target="https://zakon.rada.gov.ua/laws/show/630-2021-%D0%BF/prin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6.gif"/><Relationship Id="rId22" Type="http://schemas.openxmlformats.org/officeDocument/2006/relationships/image" Target="media/image14.gif"/><Relationship Id="rId27" Type="http://schemas.openxmlformats.org/officeDocument/2006/relationships/hyperlink" Target="https://zakon.rada.gov.ua/laws/show/483-2020-%D0%BF" TargetMode="External"/><Relationship Id="rId30" Type="http://schemas.openxmlformats.org/officeDocument/2006/relationships/hyperlink" Target="https://zakon.rada.gov.ua/laws/show/630-2021-%D0%BF/print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1FE5-7E4F-4423-A271-8ED8BA734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10815</Words>
  <Characters>6165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</dc:creator>
  <cp:keywords/>
  <dc:description/>
  <cp:lastModifiedBy>Alina</cp:lastModifiedBy>
  <cp:revision>27</cp:revision>
  <cp:lastPrinted>2025-11-13T12:33:00Z</cp:lastPrinted>
  <dcterms:created xsi:type="dcterms:W3CDTF">2025-10-06T11:36:00Z</dcterms:created>
  <dcterms:modified xsi:type="dcterms:W3CDTF">2025-11-13T12:55:00Z</dcterms:modified>
</cp:coreProperties>
</file>